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96F8338" w14:textId="14288916" w:rsidR="00EE200A" w:rsidRDefault="0082320C" w:rsidP="0029252D">
      <w:pPr>
        <w:spacing w:line="480" w:lineRule="auto"/>
        <w:jc w:val="center"/>
        <w:rPr>
          <w:i/>
        </w:rPr>
      </w:pPr>
      <w:r>
        <w:t xml:space="preserve">“Oh Come In, Equivocator”: Equivocation and </w:t>
      </w:r>
      <w:r w:rsidR="00F125D8">
        <w:t xml:space="preserve">Societal </w:t>
      </w:r>
      <w:r w:rsidR="00DE7122">
        <w:t>Deception</w:t>
      </w:r>
      <w:r>
        <w:t xml:space="preserve"> in </w:t>
      </w:r>
      <w:r>
        <w:rPr>
          <w:i/>
        </w:rPr>
        <w:t>Macbeth</w:t>
      </w:r>
    </w:p>
    <w:p w14:paraId="26A0267A" w14:textId="799F9B96" w:rsidR="0029252D" w:rsidRPr="0029252D" w:rsidRDefault="0029252D" w:rsidP="009F5CF8">
      <w:pPr>
        <w:spacing w:line="480" w:lineRule="auto"/>
        <w:ind w:firstLine="720"/>
        <w:jc w:val="center"/>
      </w:pPr>
      <w:r>
        <w:t xml:space="preserve">By: </w:t>
      </w:r>
      <w:r w:rsidRPr="0029252D">
        <w:t>Morgan Lewis</w:t>
      </w:r>
    </w:p>
    <w:p w14:paraId="22AFCA23" w14:textId="78A93E1A" w:rsidR="00FF4A99" w:rsidRDefault="00902743" w:rsidP="009F5CF8">
      <w:pPr>
        <w:spacing w:line="480" w:lineRule="auto"/>
      </w:pPr>
      <w:r>
        <w:tab/>
        <w:t xml:space="preserve">In the wake of the 2016 election in the United States, we </w:t>
      </w:r>
      <w:r w:rsidR="00F620EA">
        <w:t>are forced to</w:t>
      </w:r>
      <w:r>
        <w:t xml:space="preserve"> look </w:t>
      </w:r>
      <w:r w:rsidR="00F620EA">
        <w:t xml:space="preserve">closely </w:t>
      </w:r>
      <w:r>
        <w:t xml:space="preserve">at society and </w:t>
      </w:r>
      <w:r w:rsidR="00F23113">
        <w:t>examine the causes that led to the election of Donald</w:t>
      </w:r>
      <w:r w:rsidR="00C67335">
        <w:t xml:space="preserve"> Trump</w:t>
      </w:r>
      <w:r w:rsidR="00786C21">
        <w:t xml:space="preserve">—a man who speaks </w:t>
      </w:r>
      <w:r w:rsidR="00FC1287">
        <w:t>offensively</w:t>
      </w:r>
      <w:r w:rsidR="00786C21">
        <w:t xml:space="preserve">, </w:t>
      </w:r>
      <w:r w:rsidR="0000481D">
        <w:t>behaves unprofessionally, and has no previous experience in politics</w:t>
      </w:r>
      <w:r w:rsidR="00C67335">
        <w:t xml:space="preserve">. </w:t>
      </w:r>
      <w:r w:rsidR="0000481D">
        <w:t xml:space="preserve">One </w:t>
      </w:r>
      <w:r w:rsidR="00532C1F">
        <w:t>cry of defense for the man is that he “tells it like it is,” and he “isn’t corrupted by political systems.” After years of hearing politi</w:t>
      </w:r>
      <w:bookmarkStart w:id="0" w:name="_GoBack"/>
      <w:bookmarkEnd w:id="0"/>
      <w:r w:rsidR="00532C1F">
        <w:t>cal correctness and double-</w:t>
      </w:r>
      <w:r w:rsidR="00532C1F" w:rsidRPr="00EF0675">
        <w:t>speak from their leaders, Americans yearned for something different</w:t>
      </w:r>
      <w:r w:rsidR="00EF0675" w:rsidRPr="00EF0675">
        <w:t xml:space="preserve">, </w:t>
      </w:r>
      <w:r w:rsidR="00513792">
        <w:t xml:space="preserve">for </w:t>
      </w:r>
      <w:r w:rsidR="00EF0675" w:rsidRPr="00EF0675">
        <w:t>someone they felt they could trust</w:t>
      </w:r>
      <w:r w:rsidR="00532C1F" w:rsidRPr="00EF0675">
        <w:t>—</w:t>
      </w:r>
      <w:r w:rsidR="002A20F1" w:rsidRPr="00EF0675">
        <w:t xml:space="preserve">and </w:t>
      </w:r>
      <w:r w:rsidR="00513792">
        <w:t xml:space="preserve">while some feared his divisive rhetoric, for others Trump </w:t>
      </w:r>
      <w:r w:rsidR="00DB770B" w:rsidRPr="00EF0675">
        <w:t>seemed to be</w:t>
      </w:r>
      <w:r w:rsidR="002A20F1" w:rsidRPr="00EF0675">
        <w:t xml:space="preserve"> the “different” </w:t>
      </w:r>
      <w:r w:rsidR="00513792">
        <w:t>they sought</w:t>
      </w:r>
      <w:r w:rsidR="002A20F1" w:rsidRPr="00EF0675">
        <w:t xml:space="preserve">. </w:t>
      </w:r>
      <w:r w:rsidR="00EF0675" w:rsidRPr="00EF0675">
        <w:t>However</w:t>
      </w:r>
      <w:r w:rsidR="002A6266" w:rsidRPr="00EF0675">
        <w:t xml:space="preserve">, </w:t>
      </w:r>
      <w:r w:rsidR="0044450B" w:rsidRPr="00EF0675">
        <w:t xml:space="preserve">President-Elect </w:t>
      </w:r>
      <w:r w:rsidR="002A6266" w:rsidRPr="00EF0675">
        <w:t xml:space="preserve">Trump’s </w:t>
      </w:r>
      <w:r w:rsidR="00563F05" w:rsidRPr="00EF0675">
        <w:t xml:space="preserve">recent </w:t>
      </w:r>
      <w:r w:rsidR="002A6266" w:rsidRPr="00EF0675">
        <w:t>tweetst</w:t>
      </w:r>
      <w:r w:rsidR="00BC37CC" w:rsidRPr="00EF0675">
        <w:t>orms</w:t>
      </w:r>
      <w:r w:rsidR="00563F05" w:rsidRPr="00EF0675">
        <w:t xml:space="preserve"> attacking everything from </w:t>
      </w:r>
      <w:r w:rsidR="00BB2E40" w:rsidRPr="00EF0675">
        <w:t xml:space="preserve">Saturday Night Live to the cast of </w:t>
      </w:r>
      <w:r w:rsidR="00BB2E40" w:rsidRPr="00EF0675">
        <w:rPr>
          <w:i/>
        </w:rPr>
        <w:t>Hamilton</w:t>
      </w:r>
      <w:r w:rsidR="00BB2E40" w:rsidRPr="00EF0675">
        <w:t xml:space="preserve"> to </w:t>
      </w:r>
      <w:r w:rsidR="0044450B" w:rsidRPr="00EF0675">
        <w:t xml:space="preserve">the Green Party </w:t>
      </w:r>
      <w:r w:rsidR="00EF0675" w:rsidRPr="00EF0675">
        <w:t>indicate that he</w:t>
      </w:r>
      <w:r w:rsidR="00BC37CC" w:rsidRPr="00EF0675">
        <w:t xml:space="preserve"> distrust</w:t>
      </w:r>
      <w:r w:rsidR="00EF0675" w:rsidRPr="00EF0675">
        <w:t>s</w:t>
      </w:r>
      <w:r w:rsidR="00BC37CC" w:rsidRPr="00EF0675">
        <w:t xml:space="preserve"> the very country he will be leading.</w:t>
      </w:r>
      <w:r w:rsidR="00DB770B" w:rsidRPr="00EF0675">
        <w:t xml:space="preserve"> </w:t>
      </w:r>
      <w:r w:rsidR="00EF0675" w:rsidRPr="00EF0675">
        <w:t>But</w:t>
      </w:r>
      <w:r w:rsidR="00DB770B" w:rsidRPr="00EF0675">
        <w:t xml:space="preserve"> this mutual </w:t>
      </w:r>
      <w:r w:rsidR="00EF0675" w:rsidRPr="00EF0675">
        <w:t>suspicion</w:t>
      </w:r>
      <w:r w:rsidR="00DB770B" w:rsidRPr="00EF0675">
        <w:t xml:space="preserve"> between leaders and</w:t>
      </w:r>
      <w:r w:rsidR="00EF0675" w:rsidRPr="00EF0675">
        <w:t xml:space="preserve"> followers is not a new problem.</w:t>
      </w:r>
    </w:p>
    <w:p w14:paraId="27C5993F" w14:textId="63AF53E5" w:rsidR="00C4663A" w:rsidRPr="00BC314A" w:rsidRDefault="00FB639D" w:rsidP="009F5CF8">
      <w:pPr>
        <w:spacing w:line="480" w:lineRule="auto"/>
      </w:pPr>
      <w:r>
        <w:tab/>
        <w:t xml:space="preserve">Shakespeare’s </w:t>
      </w:r>
      <w:r>
        <w:rPr>
          <w:i/>
        </w:rPr>
        <w:t>Macbeth</w:t>
      </w:r>
      <w:r>
        <w:t xml:space="preserve"> </w:t>
      </w:r>
      <w:r w:rsidR="00DB770B">
        <w:t>addresses</w:t>
      </w:r>
      <w:r>
        <w:t xml:space="preserve"> this very issue of </w:t>
      </w:r>
      <w:r w:rsidR="00B7048E">
        <w:t xml:space="preserve">the people’s distrust in their leaders and the leaders’ </w:t>
      </w:r>
      <w:r w:rsidR="00531F5F">
        <w:t>fear</w:t>
      </w:r>
      <w:r w:rsidR="00B7048E">
        <w:t xml:space="preserve"> of their people. </w:t>
      </w:r>
      <w:r w:rsidR="00D53095">
        <w:t>Written in 1606</w:t>
      </w:r>
      <w:r w:rsidR="006E17BC">
        <w:t xml:space="preserve">, a time of religious, intellectual, and </w:t>
      </w:r>
      <w:r w:rsidR="00513792">
        <w:t>political</w:t>
      </w:r>
      <w:r w:rsidR="006E17BC">
        <w:t xml:space="preserve"> </w:t>
      </w:r>
      <w:r w:rsidR="000B1FB2">
        <w:t>conflict</w:t>
      </w:r>
      <w:r w:rsidR="00D53095">
        <w:t>, the play responds originally to the recent events of the Gunpowder Plot of 1605 and King James</w:t>
      </w:r>
      <w:r w:rsidR="00DF2889">
        <w:t xml:space="preserve"> I</w:t>
      </w:r>
      <w:r w:rsidR="00D53095">
        <w:t xml:space="preserve">’s </w:t>
      </w:r>
      <w:r w:rsidR="000B1FB2">
        <w:t xml:space="preserve">subsequent </w:t>
      </w:r>
      <w:r w:rsidR="00531F5F">
        <w:t>paranoia</w:t>
      </w:r>
      <w:r w:rsidR="005D7EB2" w:rsidRPr="00BC314A">
        <w:t>.</w:t>
      </w:r>
      <w:r w:rsidR="0010274E" w:rsidRPr="00BC314A">
        <w:t xml:space="preserve"> </w:t>
      </w:r>
      <w:r w:rsidR="004F3B35" w:rsidRPr="00BC314A">
        <w:t xml:space="preserve">Rupert Goold then revived the play </w:t>
      </w:r>
      <w:r w:rsidR="00C4663A" w:rsidRPr="00BC314A">
        <w:t>on stage in</w:t>
      </w:r>
      <w:r w:rsidR="004F3B35" w:rsidRPr="00BC314A">
        <w:t xml:space="preserve"> 2008, which was then adapted to film in 2010. Goold places </w:t>
      </w:r>
      <w:r w:rsidR="004F3B35" w:rsidRPr="00BC314A">
        <w:rPr>
          <w:i/>
        </w:rPr>
        <w:t xml:space="preserve">Macbeth </w:t>
      </w:r>
      <w:r w:rsidR="004F3B35" w:rsidRPr="00BC314A">
        <w:t xml:space="preserve">in a soviet setting, </w:t>
      </w:r>
      <w:r w:rsidR="00C4663A" w:rsidRPr="00BC314A">
        <w:t>allowing his audience to draw a parallel between Macbeth and Joseph Stalin, another paranoid tyrant.</w:t>
      </w:r>
      <w:r w:rsidR="005D7EB2" w:rsidRPr="00BC314A">
        <w:t xml:space="preserve"> </w:t>
      </w:r>
      <w:r w:rsidR="00C4663A" w:rsidRPr="00BC314A">
        <w:t xml:space="preserve">Through the original text, Goold’s adaptation, and current observations, we see that </w:t>
      </w:r>
      <w:r w:rsidR="00C4663A" w:rsidRPr="00BC314A">
        <w:rPr>
          <w:i/>
        </w:rPr>
        <w:t>Macbeth</w:t>
      </w:r>
      <w:r w:rsidR="00C4663A" w:rsidRPr="00BC314A">
        <w:t xml:space="preserve"> is a history that repeats itself for leaders and followers who do not l</w:t>
      </w:r>
      <w:r w:rsidR="00C72101" w:rsidRPr="00BC314A">
        <w:t xml:space="preserve">earn from those who came before; it is </w:t>
      </w:r>
      <w:r w:rsidR="00C4663A" w:rsidRPr="00BC314A">
        <w:t xml:space="preserve">a </w:t>
      </w:r>
      <w:r w:rsidR="0098462A" w:rsidRPr="00BC314A">
        <w:t>play</w:t>
      </w:r>
      <w:r w:rsidR="00C4663A" w:rsidRPr="00BC314A">
        <w:t xml:space="preserve"> that we saw </w:t>
      </w:r>
      <w:r w:rsidR="0098462A" w:rsidRPr="00BC314A">
        <w:t>acted</w:t>
      </w:r>
      <w:r w:rsidR="00C4663A" w:rsidRPr="00BC314A">
        <w:t xml:space="preserve"> out </w:t>
      </w:r>
      <w:r w:rsidR="00C72101" w:rsidRPr="00BC314A">
        <w:t xml:space="preserve">yet again </w:t>
      </w:r>
      <w:r w:rsidR="00C4663A" w:rsidRPr="00BC314A">
        <w:t xml:space="preserve">on the stage of the 2016 election. The players may change, but the </w:t>
      </w:r>
      <w:r w:rsidR="0098462A" w:rsidRPr="00BC314A">
        <w:t>problem</w:t>
      </w:r>
      <w:r w:rsidR="00C4663A" w:rsidRPr="00BC314A">
        <w:t xml:space="preserve"> remain</w:t>
      </w:r>
      <w:r w:rsidR="0098462A" w:rsidRPr="00BC314A">
        <w:t>s</w:t>
      </w:r>
      <w:r w:rsidR="00C4663A" w:rsidRPr="00BC314A">
        <w:t>:</w:t>
      </w:r>
      <w:r w:rsidR="00BC314A" w:rsidRPr="00BC314A">
        <w:t xml:space="preserve"> a nation founded on paranoia is doomed to devastation. </w:t>
      </w:r>
      <w:r w:rsidR="00C4663A" w:rsidRPr="00BC314A">
        <w:t xml:space="preserve"> </w:t>
      </w:r>
    </w:p>
    <w:p w14:paraId="153C0981" w14:textId="6AAC7544" w:rsidR="005A30B5" w:rsidRPr="005A30B5" w:rsidRDefault="0099557C" w:rsidP="009F5CF8">
      <w:pPr>
        <w:spacing w:line="480" w:lineRule="auto"/>
        <w:ind w:firstLine="720"/>
      </w:pPr>
      <w:r>
        <w:lastRenderedPageBreak/>
        <w:t>Shakespeare’s original text alludes specifically to t</w:t>
      </w:r>
      <w:r w:rsidR="00840479">
        <w:t xml:space="preserve">he </w:t>
      </w:r>
      <w:r w:rsidR="000E4A35">
        <w:t>Gunpowder Plot</w:t>
      </w:r>
      <w:r>
        <w:t>, which</w:t>
      </w:r>
      <w:r w:rsidR="000E4A35">
        <w:t xml:space="preserve"> was a</w:t>
      </w:r>
      <w:r w:rsidR="00D43D6B">
        <w:t xml:space="preserve">n attempted assassination of King James I and </w:t>
      </w:r>
      <w:r w:rsidR="0031593D">
        <w:t xml:space="preserve">other political </w:t>
      </w:r>
      <w:r w:rsidR="008004A3">
        <w:t>government</w:t>
      </w:r>
      <w:r w:rsidR="0031593D">
        <w:t xml:space="preserve"> leaders</w:t>
      </w:r>
      <w:r w:rsidR="008004A3">
        <w:t>. It was</w:t>
      </w:r>
      <w:r w:rsidR="0031593D">
        <w:t xml:space="preserve"> </w:t>
      </w:r>
      <w:r w:rsidR="00F770BB">
        <w:t xml:space="preserve">organized by </w:t>
      </w:r>
      <w:r w:rsidR="00AC040E">
        <w:t>a group of persecuted</w:t>
      </w:r>
      <w:r w:rsidR="009F07D4">
        <w:t xml:space="preserve"> Catholics</w:t>
      </w:r>
      <w:r w:rsidR="008004A3">
        <w:t>, “embittered by what they perceived as James’s unwillingness to extend toleration</w:t>
      </w:r>
      <w:r w:rsidR="009F07D4">
        <w:t xml:space="preserve"> to Roman Catholics” (Greenblatt 1343).</w:t>
      </w:r>
      <w:r w:rsidR="00AC040E">
        <w:t xml:space="preserve"> The group</w:t>
      </w:r>
      <w:r w:rsidR="009D57F3">
        <w:t xml:space="preserve"> </w:t>
      </w:r>
      <w:r w:rsidR="00AC040E">
        <w:t xml:space="preserve">had </w:t>
      </w:r>
      <w:r w:rsidR="009D57F3">
        <w:t>planned to explode gunpowder</w:t>
      </w:r>
      <w:r w:rsidR="0031593D">
        <w:t xml:space="preserve"> beneath </w:t>
      </w:r>
      <w:r w:rsidR="009D57F3">
        <w:t>the House of Lords, but t</w:t>
      </w:r>
      <w:r w:rsidR="0031593D">
        <w:t xml:space="preserve">he night before the plot would ensue, </w:t>
      </w:r>
      <w:r w:rsidR="00F770BB">
        <w:t xml:space="preserve">Guy Fawkes was </w:t>
      </w:r>
      <w:r w:rsidR="009D57F3">
        <w:t>discovered</w:t>
      </w:r>
      <w:r w:rsidR="00F770BB">
        <w:t xml:space="preserve"> guarding the barrels of gunpowder and the plan was foiled. </w:t>
      </w:r>
      <w:r w:rsidR="001D0A43">
        <w:t>Father Henry Garnet was a Jesuit Priest who knew of the plot beforehand, but claimed no knowledge of it when interrogated. Garnet was able to lie because of the Jesuit doctrine of equivocation</w:t>
      </w:r>
      <w:r w:rsidR="0010274E">
        <w:t xml:space="preserve">—a document </w:t>
      </w:r>
      <w:r w:rsidR="00E53AD5">
        <w:t>that Garnet</w:t>
      </w:r>
      <w:r w:rsidR="0010274E">
        <w:t xml:space="preserve"> </w:t>
      </w:r>
      <w:r w:rsidR="00E53AD5">
        <w:t>authored</w:t>
      </w:r>
      <w:r w:rsidR="0010274E">
        <w:t>—</w:t>
      </w:r>
      <w:r w:rsidR="001D0A43">
        <w:t>which allowed people to withhold truth or speak it in a misleading way without damning their souls</w:t>
      </w:r>
      <w:r w:rsidR="0010274E">
        <w:t>, as long as they kept the true statement in their thoughts</w:t>
      </w:r>
      <w:r w:rsidR="001D0A43">
        <w:t xml:space="preserve">. In </w:t>
      </w:r>
      <w:r w:rsidR="0010274E">
        <w:t>trial</w:t>
      </w:r>
      <w:r w:rsidR="001D0A43">
        <w:t xml:space="preserve">, Garnet was found guilty and </w:t>
      </w:r>
      <w:r w:rsidR="0010274E">
        <w:t xml:space="preserve">was </w:t>
      </w:r>
      <w:r w:rsidR="001D0A43">
        <w:t xml:space="preserve">prosecuted for his participation in the treasonous plot. </w:t>
      </w:r>
      <w:r w:rsidR="00363E66">
        <w:t xml:space="preserve">As </w:t>
      </w:r>
      <w:r w:rsidR="00026D36">
        <w:t>King Jam</w:t>
      </w:r>
      <w:r w:rsidR="00363E66">
        <w:t>es I, already insecure about his Scottish heritage, tried to fill the shoes of the revered and heirless Virgin Queen Elizabeth, he developed a deep suspicion that his followers were plotting against him.</w:t>
      </w:r>
      <w:r w:rsidR="005A30B5">
        <w:t xml:space="preserve"> While some hold that </w:t>
      </w:r>
      <w:r w:rsidR="005A30B5">
        <w:rPr>
          <w:i/>
        </w:rPr>
        <w:t xml:space="preserve">Macbeth </w:t>
      </w:r>
      <w:r w:rsidR="005A30B5">
        <w:t xml:space="preserve">was written </w:t>
      </w:r>
      <w:r w:rsidR="00513792">
        <w:t>to reassure</w:t>
      </w:r>
      <w:r w:rsidR="005A30B5">
        <w:t xml:space="preserve"> King James I that, as a believed descendent of Banquo, he was the rightful heir to the throne, </w:t>
      </w:r>
      <w:r w:rsidR="008E31EC">
        <w:t xml:space="preserve">the king shares enough paranoid tendencies with Macbeth that the play seems to pose two options for the newly ordained king: he can be a </w:t>
      </w:r>
      <w:r w:rsidR="00513792">
        <w:t xml:space="preserve">leader like </w:t>
      </w:r>
      <w:r w:rsidR="008E31EC">
        <w:t xml:space="preserve">Macbeth, or he can be a </w:t>
      </w:r>
      <w:r w:rsidR="00513792">
        <w:t xml:space="preserve">leader like </w:t>
      </w:r>
      <w:r w:rsidR="008E31EC">
        <w:t>Banquo.</w:t>
      </w:r>
      <w:r w:rsidR="005A30B5">
        <w:t xml:space="preserve"> </w:t>
      </w:r>
    </w:p>
    <w:p w14:paraId="637AE57E" w14:textId="77777777" w:rsidR="008E31EC" w:rsidRDefault="0099557C" w:rsidP="009F5CF8">
      <w:pPr>
        <w:spacing w:line="480" w:lineRule="auto"/>
        <w:ind w:firstLine="720"/>
      </w:pPr>
      <w:r>
        <w:t>Rupert Goold, inspired by the complex relationship of England and Scotland during Shakespeare’s time, set</w:t>
      </w:r>
      <w:r w:rsidR="005A30B5">
        <w:t xml:space="preserve"> his adaptation in soviet Russia at a time when </w:t>
      </w:r>
      <w:r w:rsidR="008E31EC">
        <w:t xml:space="preserve">English and Russian relations were also complex. In an interview on </w:t>
      </w:r>
      <w:r w:rsidR="008E31EC">
        <w:rPr>
          <w:i/>
        </w:rPr>
        <w:t>Theater Talk</w:t>
      </w:r>
      <w:r w:rsidR="008E31EC">
        <w:t xml:space="preserve">, Goold admits, </w:t>
      </w:r>
    </w:p>
    <w:p w14:paraId="4A9FBE18" w14:textId="1BCFD201" w:rsidR="0099557C" w:rsidRPr="006572C1" w:rsidRDefault="008E31EC" w:rsidP="009F5CF8">
      <w:pPr>
        <w:spacing w:line="480" w:lineRule="auto"/>
        <w:ind w:left="1440"/>
        <w:rPr>
          <w:i/>
        </w:rPr>
      </w:pPr>
      <w:r>
        <w:t xml:space="preserve">I was interested in…a sort of semi-soviet world. I was interested in what Scotland meant to England in Jacobean society. There was beyond Hadrian’s Wall, like what was beyond the Iron Curtain for the West, a sort of hinterland where strange and tyrannical things were supposed to happen </w:t>
      </w:r>
      <w:r w:rsidR="005900E1">
        <w:t xml:space="preserve">in…the </w:t>
      </w:r>
      <w:r>
        <w:t>English subconscious. I was interested in a world where there are ‘daggers in men’s smiles’…that there’s a sort of double-speak used for people being ab</w:t>
      </w:r>
      <w:r w:rsidR="001D773C">
        <w:t>le to think but dare not speak.</w:t>
      </w:r>
      <w:r>
        <w:t xml:space="preserve"> </w:t>
      </w:r>
      <w:r w:rsidR="001D773C" w:rsidRPr="006572C1">
        <w:t>(</w:t>
      </w:r>
      <w:r w:rsidR="006572C1">
        <w:rPr>
          <w:i/>
        </w:rPr>
        <w:t>Theater Talk</w:t>
      </w:r>
      <w:r w:rsidR="006572C1" w:rsidRPr="006572C1">
        <w:t>)</w:t>
      </w:r>
    </w:p>
    <w:p w14:paraId="4C73EEA8" w14:textId="22B4EA9D" w:rsidR="005639D1" w:rsidRDefault="001859B9" w:rsidP="009F5CF8">
      <w:pPr>
        <w:spacing w:line="480" w:lineRule="auto"/>
      </w:pPr>
      <w:r>
        <w:t>Goold’</w:t>
      </w:r>
      <w:r w:rsidR="0052246E">
        <w:t>s</w:t>
      </w:r>
      <w:r w:rsidR="00513792">
        <w:t xml:space="preserve"> soviet</w:t>
      </w:r>
      <w:r w:rsidR="0052246E">
        <w:t xml:space="preserve"> </w:t>
      </w:r>
      <w:r w:rsidR="00DE5758">
        <w:t>theme</w:t>
      </w:r>
      <w:r w:rsidR="00E07FD6">
        <w:t xml:space="preserve"> is supported by the imagery</w:t>
      </w:r>
      <w:r w:rsidR="0052246E">
        <w:t xml:space="preserve"> in the </w:t>
      </w:r>
      <w:r w:rsidR="00B023B4">
        <w:t xml:space="preserve">film: the frequent splash of bright </w:t>
      </w:r>
      <w:r w:rsidR="002A00E3">
        <w:t xml:space="preserve">communist red, the portrait of Macbeth at dinner reminiscent of </w:t>
      </w:r>
      <w:r w:rsidR="00513792">
        <w:t>famous</w:t>
      </w:r>
      <w:r w:rsidR="002A00E3">
        <w:t xml:space="preserve"> portraits of Stalin, and the montage of executions</w:t>
      </w:r>
      <w:r w:rsidR="00E07FD6">
        <w:t>, bourgeoisie dinner preparations,</w:t>
      </w:r>
      <w:r w:rsidR="002A00E3">
        <w:t xml:space="preserve"> and </w:t>
      </w:r>
      <w:r w:rsidR="00E07FD6">
        <w:t xml:space="preserve">firsthand </w:t>
      </w:r>
      <w:r w:rsidR="006572C1">
        <w:t>film footage from soviet Russia set the stage for Macbeth to embody the historic figure of Stalin.</w:t>
      </w:r>
    </w:p>
    <w:p w14:paraId="30F76FBC" w14:textId="75B34CB5" w:rsidR="0016322D" w:rsidRDefault="0016322D" w:rsidP="009F5CF8">
      <w:pPr>
        <w:spacing w:line="480" w:lineRule="auto"/>
        <w:jc w:val="center"/>
      </w:pPr>
      <w:r>
        <w:rPr>
          <w:noProof/>
        </w:rPr>
        <w:drawing>
          <wp:inline distT="0" distB="0" distL="0" distR="0" wp14:anchorId="7D0E484D" wp14:editId="22B89FDF">
            <wp:extent cx="2729505" cy="1529806"/>
            <wp:effectExtent l="0" t="0" r="0" b="0"/>
            <wp:docPr id="3" name="Picture 3" descr="../../../../Desktop/Screen%20Shot%202016-12-05%20at%2010.08.58%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12-05%20at%2010.08.58%20PM.p"/>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777825" cy="1556888"/>
                    </a:xfrm>
                    <a:prstGeom prst="rect">
                      <a:avLst/>
                    </a:prstGeom>
                    <a:noFill/>
                    <a:ln>
                      <a:noFill/>
                    </a:ln>
                  </pic:spPr>
                </pic:pic>
              </a:graphicData>
            </a:graphic>
          </wp:inline>
        </w:drawing>
      </w:r>
      <w:r>
        <w:t xml:space="preserve">     </w:t>
      </w:r>
      <w:r>
        <w:rPr>
          <w:noProof/>
        </w:rPr>
        <w:drawing>
          <wp:inline distT="0" distB="0" distL="0" distR="0" wp14:anchorId="4704683E" wp14:editId="45F47F4E">
            <wp:extent cx="2756169" cy="1544750"/>
            <wp:effectExtent l="0" t="0" r="0" b="5080"/>
            <wp:docPr id="4" name="Picture 4" descr="../../../../Desktop/Screen%20Shot%202016-12-05%20at%2010.12.01%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2-05%20at%2010.12.01%20PM.p"/>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84735" cy="1560760"/>
                    </a:xfrm>
                    <a:prstGeom prst="rect">
                      <a:avLst/>
                    </a:prstGeom>
                    <a:noFill/>
                    <a:ln>
                      <a:noFill/>
                    </a:ln>
                  </pic:spPr>
                </pic:pic>
              </a:graphicData>
            </a:graphic>
          </wp:inline>
        </w:drawing>
      </w:r>
    </w:p>
    <w:p w14:paraId="4A2B599C" w14:textId="578FBDDE" w:rsidR="0016322D" w:rsidRDefault="0016322D" w:rsidP="009F5CF8">
      <w:pPr>
        <w:spacing w:line="480" w:lineRule="auto"/>
        <w:jc w:val="center"/>
      </w:pPr>
      <w:r>
        <w:rPr>
          <w:noProof/>
        </w:rPr>
        <w:drawing>
          <wp:inline distT="0" distB="0" distL="0" distR="0" wp14:anchorId="74FAED04" wp14:editId="036B4247">
            <wp:extent cx="2592237" cy="1448163"/>
            <wp:effectExtent l="0" t="0" r="0" b="0"/>
            <wp:docPr id="7" name="Picture 7" descr="../../../../Desktop/Screen%20Shot%202016-12-05%20at%2010.18.38%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ktop/Screen%20Shot%202016-12-05%20at%2010.18.38%20PM.p"/>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7176" cy="1462095"/>
                    </a:xfrm>
                    <a:prstGeom prst="rect">
                      <a:avLst/>
                    </a:prstGeom>
                    <a:noFill/>
                    <a:ln>
                      <a:noFill/>
                    </a:ln>
                  </pic:spPr>
                </pic:pic>
              </a:graphicData>
            </a:graphic>
          </wp:inline>
        </w:drawing>
      </w:r>
    </w:p>
    <w:p w14:paraId="4D94201C" w14:textId="5F9541DC" w:rsidR="008E31EC" w:rsidRPr="008E31EC" w:rsidRDefault="0090160A" w:rsidP="009F5CF8">
      <w:pPr>
        <w:spacing w:line="480" w:lineRule="auto"/>
        <w:ind w:firstLine="720"/>
      </w:pPr>
      <w:r>
        <w:t>The</w:t>
      </w:r>
      <w:r w:rsidR="00DA76C4">
        <w:t xml:space="preserve"> </w:t>
      </w:r>
      <w:r w:rsidR="00773A37">
        <w:t xml:space="preserve">personal </w:t>
      </w:r>
      <w:r w:rsidR="00DA76C4">
        <w:t xml:space="preserve">lives of Macbeth and Stalin eerily coincide as well—for example, both Lady Macbeth and </w:t>
      </w:r>
      <w:r w:rsidR="00006C9F">
        <w:t xml:space="preserve">Stalin’s second wife, </w:t>
      </w:r>
      <w:r w:rsidR="00250687">
        <w:t>Nadezhda Allil</w:t>
      </w:r>
      <w:r w:rsidR="00006C9F">
        <w:t xml:space="preserve">uyeva, </w:t>
      </w:r>
      <w:r w:rsidR="00250687">
        <w:t xml:space="preserve">committed suicide. </w:t>
      </w:r>
      <w:r w:rsidR="004F604F">
        <w:t xml:space="preserve">According to Rosamond Richardson, “[Nadezhda] had publicly said, by leaving a letter, that she thought that Stalin’s policies were wrong…and that she found it intolerable and she couldn’t live with it and she would commit suicide” </w:t>
      </w:r>
      <w:r w:rsidR="004F604F" w:rsidRPr="001D773C">
        <w:t>(</w:t>
      </w:r>
      <w:r w:rsidR="001D773C" w:rsidRPr="001D773C">
        <w:t xml:space="preserve">Bulley, </w:t>
      </w:r>
      <w:r w:rsidR="001D773C" w:rsidRPr="001D773C">
        <w:rPr>
          <w:i/>
        </w:rPr>
        <w:t>Stalin: Inside the Terror</w:t>
      </w:r>
      <w:r w:rsidR="004F604F" w:rsidRPr="001D773C">
        <w:t>).</w:t>
      </w:r>
      <w:r w:rsidR="004F604F">
        <w:t xml:space="preserve"> </w:t>
      </w:r>
      <w:r w:rsidR="0060209F">
        <w:t>Nadezhda’s</w:t>
      </w:r>
      <w:r w:rsidR="004F604F">
        <w:t xml:space="preserve"> guilt-driven suicide r</w:t>
      </w:r>
      <w:r w:rsidR="0067773B">
        <w:t xml:space="preserve">eflects </w:t>
      </w:r>
      <w:r w:rsidR="00773A37">
        <w:t>Lady Macbeth’s last scene as she</w:t>
      </w:r>
      <w:r w:rsidR="0079148A">
        <w:t xml:space="preserve"> madly</w:t>
      </w:r>
      <w:r w:rsidR="0067773B">
        <w:t xml:space="preserve"> </w:t>
      </w:r>
      <w:r w:rsidR="00773A37">
        <w:t>scrubs</w:t>
      </w:r>
      <w:r w:rsidR="007415D9">
        <w:t xml:space="preserve"> </w:t>
      </w:r>
      <w:r w:rsidR="00A5289D">
        <w:t>her unclean hands</w:t>
      </w:r>
      <w:r w:rsidR="0079148A">
        <w:t xml:space="preserve"> in her sleep, </w:t>
      </w:r>
      <w:r w:rsidR="001A3021">
        <w:t>lamenting that “all the perfumes of Arabia will not sweeten [her] little hand” (5.1.42–3).</w:t>
      </w:r>
      <w:r w:rsidR="00A5289D">
        <w:t xml:space="preserve"> </w:t>
      </w:r>
    </w:p>
    <w:p w14:paraId="6D4C7303" w14:textId="6C674364" w:rsidR="0099557C" w:rsidRDefault="009C4E90" w:rsidP="00387478">
      <w:pPr>
        <w:spacing w:line="480" w:lineRule="auto"/>
        <w:ind w:firstLine="720"/>
      </w:pPr>
      <w:r>
        <w:t>These</w:t>
      </w:r>
      <w:r w:rsidR="00513792">
        <w:t xml:space="preserve"> imagistic and historical</w:t>
      </w:r>
      <w:r>
        <w:t xml:space="preserve"> connections lead the audience to see the similarities in Macbeth and Stalin’s totalitarian leadership styles. In his article, “</w:t>
      </w:r>
      <w:r w:rsidRPr="009C4E90">
        <w:t>Hitler, Stalin, and Shakespeare's Macbeth: Modern Totalitarianism and Ancient Tyranny</w:t>
      </w:r>
      <w:r>
        <w:t>,” Roland Mushat</w:t>
      </w:r>
      <w:r>
        <w:rPr>
          <w:i/>
        </w:rPr>
        <w:t xml:space="preserve"> </w:t>
      </w:r>
      <w:r>
        <w:t xml:space="preserve">Frye explains, “Stalin developed a steadily lengthening list of ‘enemies,’ whether potential, real, or imaginary, and Stalin operated on the assumption that it was better to kill too many than too few” (100). Macbeth uses this same methodology in determining to kill Banquo and his son. Though the witches’ prophecy </w:t>
      </w:r>
      <w:r w:rsidR="000A13DB">
        <w:t>explicitly states that Banquo will not become king,</w:t>
      </w:r>
      <w:r>
        <w:t xml:space="preserve"> </w:t>
      </w:r>
      <w:r w:rsidR="000A13DB">
        <w:t>Macbeth sees it fit to send murderers after both Banquo and his son Fleance</w:t>
      </w:r>
      <w:r w:rsidR="00513792">
        <w:t>, saying</w:t>
      </w:r>
      <w:r w:rsidR="00387478">
        <w:t>, “</w:t>
      </w:r>
      <w:r w:rsidR="000A13DB">
        <w:t>To be thus is nothing</w:t>
      </w:r>
      <w:r w:rsidR="00387478">
        <w:t xml:space="preserve"> / </w:t>
      </w:r>
      <w:r w:rsidR="000A13DB">
        <w:t>But to be safely thus. Our fears in Banquo</w:t>
      </w:r>
      <w:r w:rsidR="00387478">
        <w:t xml:space="preserve"> / </w:t>
      </w:r>
      <w:r w:rsidR="000A13DB">
        <w:t>Stick deep, and in his royalty of nature</w:t>
      </w:r>
      <w:r w:rsidR="00387478">
        <w:t xml:space="preserve"> / </w:t>
      </w:r>
      <w:r w:rsidR="000A13DB">
        <w:t>Reigns that which would be feared…There is none but he</w:t>
      </w:r>
      <w:r w:rsidR="00387478">
        <w:t xml:space="preserve"> / Whose being I do fear”</w:t>
      </w:r>
      <w:r w:rsidR="000A13DB">
        <w:t xml:space="preserve"> (3.</w:t>
      </w:r>
      <w:r w:rsidR="000D2810">
        <w:t>1</w:t>
      </w:r>
      <w:r w:rsidR="000A13DB">
        <w:t>.49–57)</w:t>
      </w:r>
      <w:r w:rsidR="00387478">
        <w:t xml:space="preserve">. </w:t>
      </w:r>
      <w:r w:rsidR="00513792">
        <w:t>However, being</w:t>
      </w:r>
      <w:r w:rsidR="008A73AF">
        <w:t xml:space="preserve"> king means nothing to Macbeth until he is entirely certain that nothing can overthrow him</w:t>
      </w:r>
      <w:r w:rsidR="00513792">
        <w:t xml:space="preserve"> and he relies on the witches’ prophecy to determine those threats</w:t>
      </w:r>
      <w:r w:rsidR="008A73AF">
        <w:t xml:space="preserve">. </w:t>
      </w:r>
      <w:r w:rsidR="000A13DB">
        <w:t>He fears Ban</w:t>
      </w:r>
      <w:r w:rsidR="00953807">
        <w:t xml:space="preserve">quo’s naturally noble temperament, and sees it necessary that both he and Fleance be removed as potential </w:t>
      </w:r>
      <w:r w:rsidR="00513792">
        <w:t>dangers</w:t>
      </w:r>
      <w:r w:rsidR="00953807">
        <w:t xml:space="preserve"> to his power. And although Macbeth insists that Banquo is the only man whom he fears, Macbeth goes on to </w:t>
      </w:r>
      <w:r w:rsidR="004A1B26">
        <w:t xml:space="preserve">ruthlessly kill Lady Macduff and her children—innocent people who posed no threat to his throne. Goold’s film depicts this </w:t>
      </w:r>
      <w:r w:rsidR="00E350B9">
        <w:t xml:space="preserve">attitude with a montage before </w:t>
      </w:r>
      <w:r w:rsidR="004A1B26">
        <w:t>the dinner preparations</w:t>
      </w:r>
      <w:r w:rsidR="00E350B9">
        <w:t xml:space="preserve"> that depicts executions and soldier marches juxtaposed with perfectly aligned silverware and a vat of blood-red soup. These disturbing images give the impression that Macbeth kills many more people on his ascent to power than are mentioned in the play. The implication of mass-murder more closely aligns him with Stalin, who killed millions through executions</w:t>
      </w:r>
      <w:r w:rsidR="008A73AF">
        <w:t>, exiles, and starvation.</w:t>
      </w:r>
    </w:p>
    <w:p w14:paraId="1FD9FAF7" w14:textId="71AB0D55" w:rsidR="0016322D" w:rsidRDefault="0016322D" w:rsidP="009F5CF8">
      <w:pPr>
        <w:spacing w:line="480" w:lineRule="auto"/>
        <w:jc w:val="center"/>
      </w:pPr>
      <w:r>
        <w:rPr>
          <w:noProof/>
        </w:rPr>
        <w:drawing>
          <wp:inline distT="0" distB="0" distL="0" distR="0" wp14:anchorId="562783D8" wp14:editId="3CF24CC7">
            <wp:extent cx="2614209" cy="1469934"/>
            <wp:effectExtent l="0" t="0" r="2540" b="3810"/>
            <wp:docPr id="5" name="Picture 5" descr="../../../../Desktop/Screen%20Shot%202016-12-05%20at%2010.14.15%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ktop/Screen%20Shot%202016-12-05%20at%2010.14.15%20P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29963" cy="1478792"/>
                    </a:xfrm>
                    <a:prstGeom prst="rect">
                      <a:avLst/>
                    </a:prstGeom>
                    <a:noFill/>
                    <a:ln>
                      <a:noFill/>
                    </a:ln>
                  </pic:spPr>
                </pic:pic>
              </a:graphicData>
            </a:graphic>
          </wp:inline>
        </w:drawing>
      </w:r>
      <w:r>
        <w:t xml:space="preserve">    </w:t>
      </w:r>
      <w:r>
        <w:rPr>
          <w:noProof/>
        </w:rPr>
        <w:drawing>
          <wp:inline distT="0" distB="0" distL="0" distR="0" wp14:anchorId="409B13AB" wp14:editId="19603655">
            <wp:extent cx="2602778" cy="1454052"/>
            <wp:effectExtent l="0" t="0" r="0" b="0"/>
            <wp:docPr id="6" name="Picture 6" descr="../../../../Desktop/Screen%20Shot%202016-12-05%20at%2010.15.18%20P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esktop/Screen%20Shot%202016-12-05%20at%2010.15.18%20PM.p"/>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877" cy="1468632"/>
                    </a:xfrm>
                    <a:prstGeom prst="rect">
                      <a:avLst/>
                    </a:prstGeom>
                    <a:noFill/>
                    <a:ln>
                      <a:noFill/>
                    </a:ln>
                  </pic:spPr>
                </pic:pic>
              </a:graphicData>
            </a:graphic>
          </wp:inline>
        </w:drawing>
      </w:r>
      <w:r>
        <w:t xml:space="preserve">  </w:t>
      </w:r>
    </w:p>
    <w:p w14:paraId="3FCD2D1C" w14:textId="5EAAE282" w:rsidR="000032A5" w:rsidRDefault="008A73AF" w:rsidP="009F5CF8">
      <w:pPr>
        <w:spacing w:line="480" w:lineRule="auto"/>
        <w:ind w:firstLine="720"/>
      </w:pPr>
      <w:r>
        <w:t xml:space="preserve">The common thread of all corrupt leaders is the tendency to double-speak, equivocate, or outright lie to gain power. Shakespeare explicitly condemns this practice by invoking the Gunpowder Plot in the porter’s speech. </w:t>
      </w:r>
      <w:r w:rsidR="001C1BD3">
        <w:t xml:space="preserve">In examining the text, it’s important to note that the speech is given by one of Shakespeare’s “clown” characters. The porter is meant for comic relief, and yet </w:t>
      </w:r>
      <w:r w:rsidR="000C0A21">
        <w:t>his</w:t>
      </w:r>
      <w:r w:rsidR="001C1BD3">
        <w:t xml:space="preserve"> </w:t>
      </w:r>
      <w:r w:rsidR="000C0A21">
        <w:t xml:space="preserve">humor is dark and the there is an element of truth to his words. </w:t>
      </w:r>
      <w:r w:rsidR="000032A5">
        <w:t>Rhodes and Gillespie observe that theatrical</w:t>
      </w:r>
      <w:r w:rsidR="000C0A21">
        <w:t xml:space="preserve"> </w:t>
      </w:r>
      <w:r w:rsidR="007C13CB">
        <w:t>clowns were symbols of pop culture and the meshing of high and low society. They played idiots or country bumpkins, but spoke of educated matters</w:t>
      </w:r>
      <w:r w:rsidR="00112534">
        <w:t>, opening</w:t>
      </w:r>
      <w:r w:rsidR="006F20FF">
        <w:t xml:space="preserve"> the door for a subversion of societal expectations.</w:t>
      </w:r>
      <w:r w:rsidR="007C13CB">
        <w:t xml:space="preserve"> </w:t>
      </w:r>
      <w:r w:rsidR="000032A5">
        <w:t xml:space="preserve">Furthermore: </w:t>
      </w:r>
    </w:p>
    <w:p w14:paraId="6CBF4032" w14:textId="578123B2" w:rsidR="00902743" w:rsidRDefault="000032A5" w:rsidP="009F5CF8">
      <w:pPr>
        <w:spacing w:line="480" w:lineRule="auto"/>
        <w:ind w:left="1440"/>
      </w:pPr>
      <w:r>
        <w:t>The figure of a clown could have been practically invented to muddle matters further, pointing as it does in two directions</w:t>
      </w:r>
      <w:r>
        <w:softHyphen/>
        <w:t>—on the one hand, towards a clarity of social distinctions and on the other, towards a messy reality in which the relationship between individuals and the labels applied to them is often imprecise, potentially unstable, and even downright deceptive. The interest of Shakespeare’s clowns lies precisely in the ways in which these two senses are played off against each other, in a series of increasingly c</w:t>
      </w:r>
      <w:r w:rsidR="00061B9F">
        <w:t xml:space="preserve">omplex variations upon a </w:t>
      </w:r>
      <w:r w:rsidR="00061B9F" w:rsidRPr="00061B9F">
        <w:t>theme.</w:t>
      </w:r>
      <w:r w:rsidRPr="00061B9F">
        <w:t xml:space="preserve"> </w:t>
      </w:r>
      <w:r w:rsidR="004D6E78" w:rsidRPr="00061B9F">
        <w:t>(7</w:t>
      </w:r>
      <w:r w:rsidR="00C97326" w:rsidRPr="00061B9F">
        <w:t>5</w:t>
      </w:r>
      <w:r w:rsidR="001D4B3F" w:rsidRPr="00061B9F">
        <w:t>)</w:t>
      </w:r>
    </w:p>
    <w:p w14:paraId="20DED6F5" w14:textId="00B3145A" w:rsidR="00D67EF1" w:rsidRDefault="00FB10B7" w:rsidP="009F5CF8">
      <w:pPr>
        <w:spacing w:line="480" w:lineRule="auto"/>
      </w:pPr>
      <w:r>
        <w:t xml:space="preserve">The clowns in Shakespeare </w:t>
      </w:r>
      <w:r w:rsidR="00797E0F">
        <w:t xml:space="preserve">were presented by characters of low societal rank, characters who </w:t>
      </w:r>
      <w:r w:rsidR="00A201D8">
        <w:t>wouldn’t typically</w:t>
      </w:r>
      <w:r w:rsidR="00797E0F">
        <w:t xml:space="preserve"> be taken seriously. However, these characters—though </w:t>
      </w:r>
      <w:r w:rsidR="004C5B07">
        <w:t xml:space="preserve">they </w:t>
      </w:r>
      <w:r w:rsidR="00513792">
        <w:t xml:space="preserve">frequently </w:t>
      </w:r>
      <w:r w:rsidR="005A2DAA">
        <w:t>exploit vulgar vocabulary</w:t>
      </w:r>
      <w:r w:rsidR="00513792">
        <w:t xml:space="preserve"> of their societal rank</w:t>
      </w:r>
      <w:r w:rsidR="005A2DAA">
        <w:t xml:space="preserve">—often speak to </w:t>
      </w:r>
      <w:r w:rsidR="00513792">
        <w:t xml:space="preserve">questions that Shakespeare embeds in </w:t>
      </w:r>
      <w:r w:rsidR="005A2DAA">
        <w:t>the heart of the play. In this case, t</w:t>
      </w:r>
      <w:r w:rsidR="001967F6">
        <w:t>he porter</w:t>
      </w:r>
      <w:r w:rsidR="00743942">
        <w:t xml:space="preserve"> is a lowly servant who</w:t>
      </w:r>
      <w:r w:rsidR="001967F6">
        <w:t xml:space="preserve"> </w:t>
      </w:r>
      <w:r w:rsidR="005138B3">
        <w:t>verbalizes themes of equivocation</w:t>
      </w:r>
      <w:r w:rsidR="00D67EF1">
        <w:t xml:space="preserve"> and </w:t>
      </w:r>
      <w:r w:rsidR="001967F6">
        <w:t xml:space="preserve">the </w:t>
      </w:r>
      <w:r w:rsidR="006F554C">
        <w:t xml:space="preserve">deception of </w:t>
      </w:r>
      <w:r w:rsidR="00D67EF1">
        <w:t xml:space="preserve">societal </w:t>
      </w:r>
      <w:r w:rsidR="006F554C">
        <w:t>l</w:t>
      </w:r>
      <w:r w:rsidR="00743942">
        <w:t>abels through an allusion to the controversial Gunpowder Plot.</w:t>
      </w:r>
    </w:p>
    <w:p w14:paraId="52EA6F82" w14:textId="54EE9AF0" w:rsidR="00D67EF1" w:rsidRDefault="00D67EF1" w:rsidP="009F5CF8">
      <w:pPr>
        <w:spacing w:line="480" w:lineRule="auto"/>
      </w:pPr>
      <w:r>
        <w:tab/>
        <w:t xml:space="preserve">The scene begins </w:t>
      </w:r>
      <w:r w:rsidR="00513792">
        <w:t xml:space="preserve">with a knocking </w:t>
      </w:r>
      <w:r>
        <w:t>immediately after Macbeth and Lady Macbeth have carried out their first murder</w:t>
      </w:r>
      <w:r w:rsidR="007213D4">
        <w:t xml:space="preserve"> plot. The porter speaks, “If a man were porter of hell-gate, he should have old turning the key,”</w:t>
      </w:r>
      <w:r w:rsidR="00550F16">
        <w:t xml:space="preserve"> which launches him into a hypothetical scenario in which he, like St. Peter at heaven’s gate, plays the role of gatekeeper of hell, crying, “Who’s there i’th’ name of Beelzebub?”</w:t>
      </w:r>
      <w:r w:rsidR="007128BA">
        <w:t xml:space="preserve"> instead of in the name of God</w:t>
      </w:r>
      <w:r w:rsidR="00550F16">
        <w:t xml:space="preserve"> (2.3.1–3).</w:t>
      </w:r>
      <w:r w:rsidR="00435D57">
        <w:t xml:space="preserve"> The porter then </w:t>
      </w:r>
      <w:r w:rsidR="007128BA">
        <w:t xml:space="preserve">welcomes in three </w:t>
      </w:r>
      <w:r w:rsidR="00E01CD6">
        <w:t xml:space="preserve">people: </w:t>
      </w:r>
      <w:r w:rsidR="007128BA">
        <w:t xml:space="preserve">a farmer who </w:t>
      </w:r>
      <w:r w:rsidR="00D32089">
        <w:t>stashed</w:t>
      </w:r>
      <w:r w:rsidR="007128BA">
        <w:t xml:space="preserve"> </w:t>
      </w:r>
      <w:r w:rsidR="00E01CD6">
        <w:t xml:space="preserve">grain to sell at a higher price, but was ruined by a crop surplus; an equivocator who committed treason; and a tailor who </w:t>
      </w:r>
      <w:r w:rsidR="00D32089">
        <w:t>skimped on cloth in pants</w:t>
      </w:r>
      <w:r w:rsidR="003374C2">
        <w:t xml:space="preserve"> he made</w:t>
      </w:r>
      <w:r w:rsidR="00D32089">
        <w:t>. In each circumstance, the subject is withholding something necessary, which must be considered sin because each is beckoned to hell by the porter.</w:t>
      </w:r>
      <w:r w:rsidR="003374C2">
        <w:t xml:space="preserve"> </w:t>
      </w:r>
    </w:p>
    <w:p w14:paraId="5CAC2CFB" w14:textId="1847953C" w:rsidR="00CE0B80" w:rsidRDefault="003374C2" w:rsidP="009F5CF8">
      <w:pPr>
        <w:spacing w:line="480" w:lineRule="auto"/>
      </w:pPr>
      <w:r>
        <w:tab/>
        <w:t>The audience of Shakespeare’s time would have immediately recognized the second man</w:t>
      </w:r>
      <w:r w:rsidR="009E5077">
        <w:t xml:space="preserve">, the equivocator, </w:t>
      </w:r>
      <w:r w:rsidR="00697F60">
        <w:t>as</w:t>
      </w:r>
      <w:r>
        <w:t xml:space="preserve"> </w:t>
      </w:r>
      <w:r w:rsidR="00697F60">
        <w:t xml:space="preserve">Father </w:t>
      </w:r>
      <w:r>
        <w:t>Henry Garnet</w:t>
      </w:r>
      <w:r w:rsidR="00697F60">
        <w:t>, who had been prosecuted for committing “treason enough for God’s sake</w:t>
      </w:r>
      <w:r w:rsidR="00592DF8">
        <w:t>, yet could not equivocate to heaven</w:t>
      </w:r>
      <w:r w:rsidR="00697F60">
        <w:t xml:space="preserve">” in the Gunpowder Plot </w:t>
      </w:r>
      <w:r w:rsidR="007232B6">
        <w:t>within that</w:t>
      </w:r>
      <w:r w:rsidR="008D1A58">
        <w:t xml:space="preserve"> year </w:t>
      </w:r>
      <w:r w:rsidR="007E2932">
        <w:t>(2.3.9</w:t>
      </w:r>
      <w:r w:rsidR="00592DF8">
        <w:t>–10</w:t>
      </w:r>
      <w:r w:rsidR="000F4C5A">
        <w:t xml:space="preserve">). It is </w:t>
      </w:r>
      <w:r w:rsidR="00592DF8">
        <w:t>strange</w:t>
      </w:r>
      <w:r w:rsidR="000F4C5A">
        <w:t xml:space="preserve">, then, that the porter makes such a definitive claim on the priest’s salvation, </w:t>
      </w:r>
      <w:r w:rsidR="00592DF8">
        <w:t>for Garnet would</w:t>
      </w:r>
      <w:r w:rsidR="00813A5C">
        <w:t xml:space="preserve"> have</w:t>
      </w:r>
      <w:r w:rsidR="00592DF8">
        <w:t xml:space="preserve"> </w:t>
      </w:r>
      <w:r w:rsidR="00813A5C">
        <w:t>occupied</w:t>
      </w:r>
      <w:r w:rsidR="00592DF8">
        <w:t xml:space="preserve"> a much higher position in society than the porter would. As a priest at the time</w:t>
      </w:r>
      <w:r w:rsidR="00813A5C">
        <w:t xml:space="preserve">, </w:t>
      </w:r>
      <w:r w:rsidR="00592DF8">
        <w:t xml:space="preserve">Garnet would also have been </w:t>
      </w:r>
      <w:r w:rsidR="00813A5C">
        <w:t>considered</w:t>
      </w:r>
      <w:r w:rsidR="00592DF8">
        <w:t xml:space="preserve"> more holy than the general population, for it was through his priesthood th</w:t>
      </w:r>
      <w:r w:rsidR="00EB3DAE">
        <w:t xml:space="preserve">at the laity could access the rites to </w:t>
      </w:r>
      <w:r w:rsidR="00592DF8">
        <w:t xml:space="preserve">salvation. </w:t>
      </w:r>
      <w:r w:rsidR="009E5077">
        <w:t xml:space="preserve">Yet, the porter—a symbol of subverted societal expectation himself—exposes the priest </w:t>
      </w:r>
      <w:r w:rsidR="00813A5C">
        <w:t>for his corruptions</w:t>
      </w:r>
      <w:r w:rsidR="009E5077">
        <w:t xml:space="preserve">, further supporting the </w:t>
      </w:r>
      <w:r w:rsidR="00813A5C">
        <w:t>way in which clowns reveal the imprecise, unstable, and deceptive</w:t>
      </w:r>
      <w:r w:rsidR="009E5077">
        <w:t xml:space="preserve"> relationship between people and their </w:t>
      </w:r>
      <w:r w:rsidR="00813A5C">
        <w:t>social labels</w:t>
      </w:r>
      <w:r w:rsidR="009E5077">
        <w:t>, as suggested by Rhodes and Gillespie above</w:t>
      </w:r>
      <w:r w:rsidR="009E0D4E">
        <w:t xml:space="preserve">. </w:t>
      </w:r>
      <w:r w:rsidR="001717A1">
        <w:t>The porter not only shows the complicated nature of this relationship, but actually reverses audience expectations when he says, “I had thought to let in some of all professions that go the primrose way to th’everlasting bonfire” (2.3.16–18). The primrose way alludes to Matthew 7:13 in the Bible, which teaches that “wide is the gate and broad is the way that leads to destruction, and many</w:t>
      </w:r>
      <w:r w:rsidR="00513792">
        <w:t xml:space="preserve"> enter through it.” The porter then</w:t>
      </w:r>
      <w:r w:rsidR="001717A1">
        <w:t xml:space="preserve">, </w:t>
      </w:r>
      <w:r w:rsidR="00513792">
        <w:t xml:space="preserve">through invoking holy scripture, </w:t>
      </w:r>
      <w:r w:rsidR="001717A1">
        <w:t xml:space="preserve">becomes the heightened moral figure condemning the priest for his </w:t>
      </w:r>
      <w:r w:rsidR="00513792">
        <w:t xml:space="preserve">sin of </w:t>
      </w:r>
      <w:r w:rsidR="00943EB2">
        <w:t>equivocation</w:t>
      </w:r>
      <w:r w:rsidR="001717A1">
        <w:t xml:space="preserve">. </w:t>
      </w:r>
    </w:p>
    <w:p w14:paraId="1900488E" w14:textId="415EF77A" w:rsidR="00794C70" w:rsidRDefault="007C2AF9" w:rsidP="009F5CF8">
      <w:pPr>
        <w:spacing w:line="480" w:lineRule="auto"/>
      </w:pPr>
      <w:r>
        <w:tab/>
      </w:r>
      <w:r w:rsidR="00063BE4" w:rsidRPr="00CC3B82">
        <w:t xml:space="preserve">The problem of equivocation </w:t>
      </w:r>
      <w:r w:rsidR="00513792">
        <w:t xml:space="preserve">and the foundation of distrust </w:t>
      </w:r>
      <w:r w:rsidR="00063BE4" w:rsidRPr="00CC3B82">
        <w:t>is not only a central theme in</w:t>
      </w:r>
      <w:r w:rsidR="00063BE4" w:rsidRPr="00CC3B82">
        <w:rPr>
          <w:i/>
        </w:rPr>
        <w:t xml:space="preserve"> Macbeth</w:t>
      </w:r>
      <w:r w:rsidR="00063BE4" w:rsidRPr="00CC3B82">
        <w:t>, but the catalyst for the horrendous tragedies that brought about Macbeth’s rise to power and downfall.</w:t>
      </w:r>
      <w:r w:rsidR="00101B56" w:rsidRPr="00CC3B82">
        <w:t xml:space="preserve"> The </w:t>
      </w:r>
      <w:r w:rsidR="00A112CB">
        <w:t>prophecies</w:t>
      </w:r>
      <w:r w:rsidR="00943EB2" w:rsidRPr="00CC3B82">
        <w:t xml:space="preserve"> </w:t>
      </w:r>
      <w:r w:rsidR="00CC3B82" w:rsidRPr="00CC3B82">
        <w:t xml:space="preserve">of the </w:t>
      </w:r>
      <w:r w:rsidR="00943EB2" w:rsidRPr="00CC3B82">
        <w:t xml:space="preserve">weird sisters, for instance, intentionally </w:t>
      </w:r>
      <w:r w:rsidR="00A112CB">
        <w:t>misled</w:t>
      </w:r>
      <w:r w:rsidR="00CC3B82" w:rsidRPr="00CC3B82">
        <w:t xml:space="preserve"> Macbeth to believe that no man st</w:t>
      </w:r>
      <w:r w:rsidR="00A112CB">
        <w:t>ood</w:t>
      </w:r>
      <w:r w:rsidR="00CC3B82" w:rsidRPr="00CC3B82">
        <w:t xml:space="preserve"> in </w:t>
      </w:r>
      <w:r w:rsidR="00A112CB">
        <w:t xml:space="preserve">the way of his ascent to power, for every man alive is born of a woman and trees cannot physically </w:t>
      </w:r>
      <w:r w:rsidR="002C0469">
        <w:t>displace</w:t>
      </w:r>
      <w:r w:rsidR="00A112CB">
        <w:t xml:space="preserve"> themselves</w:t>
      </w:r>
      <w:r w:rsidR="000A2FE8">
        <w:t>.</w:t>
      </w:r>
      <w:r w:rsidR="00216B3A">
        <w:t xml:space="preserve"> </w:t>
      </w:r>
      <w:r w:rsidR="00DF2889">
        <w:t xml:space="preserve">Donalbain, too, refers to the common thread of deceit within the play when he suggests that he and Malcom flee for “Where [they] are </w:t>
      </w:r>
      <w:r w:rsidR="0082320C">
        <w:t xml:space="preserve">/ </w:t>
      </w:r>
      <w:r w:rsidR="00DF2889">
        <w:t xml:space="preserve">There’s daggers in men’s smiles” (2.3.135–6). </w:t>
      </w:r>
    </w:p>
    <w:p w14:paraId="2426BE71" w14:textId="205D75E3" w:rsidR="007C2AF9" w:rsidRDefault="00DF2889" w:rsidP="009F5CF8">
      <w:pPr>
        <w:spacing w:line="480" w:lineRule="auto"/>
        <w:ind w:firstLine="720"/>
      </w:pPr>
      <w:r>
        <w:t xml:space="preserve">The porter, then, acts as a translator for </w:t>
      </w:r>
      <w:r w:rsidR="00513792">
        <w:t>Shakespeare’s</w:t>
      </w:r>
      <w:r>
        <w:t xml:space="preserve"> audience so they </w:t>
      </w:r>
      <w:r w:rsidR="00513792">
        <w:t>could</w:t>
      </w:r>
      <w:r>
        <w:t xml:space="preserve"> make the connection</w:t>
      </w:r>
      <w:r w:rsidR="00794C70">
        <w:t xml:space="preserve"> of equivocation</w:t>
      </w:r>
      <w:r>
        <w:t xml:space="preserve"> to their own society at the time. The equivocating priest</w:t>
      </w:r>
      <w:r w:rsidR="00A37F75">
        <w:t xml:space="preserve"> first</w:t>
      </w:r>
      <w:r>
        <w:t xml:space="preserve"> </w:t>
      </w:r>
      <w:r w:rsidR="003D40CB">
        <w:t>reflects on</w:t>
      </w:r>
      <w:r>
        <w:t xml:space="preserve"> Macbeth’s betrayal of his noble title</w:t>
      </w:r>
      <w:r w:rsidR="00723CFA">
        <w:t xml:space="preserve"> and corruption to ascend to power</w:t>
      </w:r>
      <w:r>
        <w:t xml:space="preserve">. </w:t>
      </w:r>
      <w:r w:rsidR="00794C70">
        <w:t>In this way, the</w:t>
      </w:r>
      <w:r w:rsidR="00723CFA">
        <w:t xml:space="preserve"> porter’s condemnation of </w:t>
      </w:r>
      <w:r w:rsidR="003D40CB">
        <w:t>the priest, and therefore Macbeth,</w:t>
      </w:r>
      <w:r>
        <w:t xml:space="preserve"> </w:t>
      </w:r>
      <w:r w:rsidR="00771462">
        <w:t xml:space="preserve">acts as a warning </w:t>
      </w:r>
      <w:r w:rsidR="00723CFA">
        <w:t>to</w:t>
      </w:r>
      <w:r w:rsidR="00771462">
        <w:t xml:space="preserve"> </w:t>
      </w:r>
      <w:r>
        <w:t>King James I</w:t>
      </w:r>
      <w:r w:rsidR="00723CFA">
        <w:t xml:space="preserve"> for</w:t>
      </w:r>
      <w:r>
        <w:t xml:space="preserve"> </w:t>
      </w:r>
      <w:r w:rsidR="00723CFA">
        <w:t xml:space="preserve">his </w:t>
      </w:r>
      <w:r>
        <w:t>paran</w:t>
      </w:r>
      <w:r w:rsidR="00794C70">
        <w:t>oia</w:t>
      </w:r>
      <w:r w:rsidR="003D40CB">
        <w:t xml:space="preserve"> that his power would be overthrown. This passage shows King James</w:t>
      </w:r>
      <w:r w:rsidR="00723CFA">
        <w:t xml:space="preserve"> that while some skepticism is justified (as proven in the Gunpowder Plot), if he goes too far in his distrust, he will spiral out of control just as Macbeth did, and all of England will suffer</w:t>
      </w:r>
      <w:r>
        <w:t>.</w:t>
      </w:r>
      <w:r w:rsidR="00A37F75">
        <w:t xml:space="preserve"> At the same time, the priest represents a disloyal servant</w:t>
      </w:r>
      <w:r>
        <w:t xml:space="preserve"> </w:t>
      </w:r>
      <w:r w:rsidR="00794C70">
        <w:t xml:space="preserve">who placed the future of the country in danger for his </w:t>
      </w:r>
      <w:r w:rsidR="003D40CB">
        <w:t xml:space="preserve">treasonous actions. </w:t>
      </w:r>
      <w:r w:rsidR="00EF0773">
        <w:t>In other words, the</w:t>
      </w:r>
      <w:r>
        <w:t xml:space="preserve"> porter </w:t>
      </w:r>
      <w:r w:rsidR="006A2AE5">
        <w:t xml:space="preserve">at once </w:t>
      </w:r>
      <w:r w:rsidR="00EF0773">
        <w:t xml:space="preserve">represents </w:t>
      </w:r>
      <w:r w:rsidR="006A2AE5">
        <w:t>the corruption and distrust of both</w:t>
      </w:r>
      <w:r w:rsidR="00723CFA">
        <w:t xml:space="preserve"> leaders and followers</w:t>
      </w:r>
      <w:r w:rsidR="006A2AE5">
        <w:t xml:space="preserve">, </w:t>
      </w:r>
      <w:r w:rsidR="00723CFA">
        <w:t xml:space="preserve">and </w:t>
      </w:r>
      <w:r w:rsidR="006A2AE5">
        <w:t xml:space="preserve">as the audience holds these </w:t>
      </w:r>
      <w:r w:rsidR="00A37F75">
        <w:t>images</w:t>
      </w:r>
      <w:r w:rsidR="006A2AE5">
        <w:t xml:space="preserve"> simultan</w:t>
      </w:r>
      <w:r w:rsidR="00A37F75">
        <w:t>e</w:t>
      </w:r>
      <w:r w:rsidR="006A2AE5">
        <w:t>ously in their minds, they must ask</w:t>
      </w:r>
      <w:r w:rsidR="00723CFA">
        <w:t xml:space="preserve"> themselves—what are the implications on one’s personal salvation and on society as a whole when someone of any societal status equivocates and plots for their personal gain?</w:t>
      </w:r>
    </w:p>
    <w:p w14:paraId="2896A73E" w14:textId="1E9C6126" w:rsidR="0016322D" w:rsidRDefault="000D2E83" w:rsidP="009F5CF8">
      <w:pPr>
        <w:spacing w:line="480" w:lineRule="auto"/>
        <w:rPr>
          <w:noProof/>
        </w:rPr>
      </w:pPr>
      <w:r>
        <w:tab/>
        <w:t xml:space="preserve">Rupert Goold’s adaptation of </w:t>
      </w:r>
      <w:r w:rsidRPr="000D2E83">
        <w:rPr>
          <w:i/>
        </w:rPr>
        <w:t>Macbeth</w:t>
      </w:r>
      <w:r w:rsidR="00026D36">
        <w:t xml:space="preserve"> </w:t>
      </w:r>
      <w:r>
        <w:t>further underlines</w:t>
      </w:r>
      <w:r w:rsidR="004146A2">
        <w:t xml:space="preserve"> the</w:t>
      </w:r>
      <w:r>
        <w:t xml:space="preserve"> theme of equivocation</w:t>
      </w:r>
      <w:r w:rsidR="004146A2">
        <w:t xml:space="preserve"> and the </w:t>
      </w:r>
      <w:r w:rsidR="00513792">
        <w:t>betrayal</w:t>
      </w:r>
      <w:r w:rsidR="004146A2">
        <w:t xml:space="preserve"> of socie</w:t>
      </w:r>
      <w:r w:rsidR="007C2AF9">
        <w:t>tal positions in his version of the porter’s speech.</w:t>
      </w:r>
      <w:r w:rsidR="007C2AF9" w:rsidRPr="007C2AF9">
        <w:t xml:space="preserve"> </w:t>
      </w:r>
      <w:r w:rsidR="007C2AF9">
        <w:t>However, Goold does not portray the porter as a humorous clown figure, but as a haunting figure of admonition for the v</w:t>
      </w:r>
      <w:r w:rsidR="00E406A5">
        <w:t>iewers and the equivocators he implicates.</w:t>
      </w:r>
      <w:r w:rsidR="0016322D" w:rsidRPr="0016322D">
        <w:rPr>
          <w:noProof/>
        </w:rPr>
        <w:t xml:space="preserve"> </w:t>
      </w:r>
    </w:p>
    <w:p w14:paraId="4CD0D756" w14:textId="76E7FE21" w:rsidR="00E406A5" w:rsidRDefault="0016322D" w:rsidP="009F5CF8">
      <w:pPr>
        <w:spacing w:line="480" w:lineRule="auto"/>
        <w:jc w:val="center"/>
      </w:pPr>
      <w:r>
        <w:rPr>
          <w:noProof/>
        </w:rPr>
        <w:drawing>
          <wp:inline distT="0" distB="0" distL="0" distR="0" wp14:anchorId="124F37B8" wp14:editId="041940A6">
            <wp:extent cx="2756535" cy="1549814"/>
            <wp:effectExtent l="0" t="0" r="0" b="0"/>
            <wp:docPr id="1" name="Picture 1" descr="../../../../Desktop/Screen%20Shot%202016-10-19%20at%202.54.39%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ktop/Screen%20Shot%202016-10-19%20at%202.54.39%20AM.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00114" cy="1574316"/>
                    </a:xfrm>
                    <a:prstGeom prst="rect">
                      <a:avLst/>
                    </a:prstGeom>
                    <a:noFill/>
                    <a:ln>
                      <a:noFill/>
                    </a:ln>
                  </pic:spPr>
                </pic:pic>
              </a:graphicData>
            </a:graphic>
          </wp:inline>
        </w:drawing>
      </w:r>
      <w:r>
        <w:t xml:space="preserve">     </w:t>
      </w:r>
      <w:r>
        <w:rPr>
          <w:noProof/>
        </w:rPr>
        <w:drawing>
          <wp:inline distT="0" distB="0" distL="0" distR="0" wp14:anchorId="6DC24EEF" wp14:editId="525B21B5">
            <wp:extent cx="2802350" cy="1565984"/>
            <wp:effectExtent l="0" t="0" r="0" b="8890"/>
            <wp:docPr id="2" name="Picture 2" descr="../../../../Desktop/Screen%20Shot%202016-10-19%20at%203.24.30%20A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ktop/Screen%20Shot%202016-10-19%20at%203.24.30%20A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02356" cy="1621869"/>
                    </a:xfrm>
                    <a:prstGeom prst="rect">
                      <a:avLst/>
                    </a:prstGeom>
                    <a:noFill/>
                    <a:ln>
                      <a:noFill/>
                    </a:ln>
                  </pic:spPr>
                </pic:pic>
              </a:graphicData>
            </a:graphic>
          </wp:inline>
        </w:drawing>
      </w:r>
    </w:p>
    <w:p w14:paraId="1390FA22" w14:textId="5E1C05B8" w:rsidR="00C44260" w:rsidRDefault="00981853" w:rsidP="009F5CF8">
      <w:pPr>
        <w:spacing w:line="480" w:lineRule="auto"/>
        <w:ind w:firstLine="720"/>
      </w:pPr>
      <w:r>
        <w:t>The</w:t>
      </w:r>
      <w:r w:rsidR="004146A2">
        <w:t xml:space="preserve"> porter </w:t>
      </w:r>
      <w:r>
        <w:t>is a grimy character, who gives his</w:t>
      </w:r>
      <w:r w:rsidR="004146A2">
        <w:t xml:space="preserve"> speech</w:t>
      </w:r>
      <w:r w:rsidR="00513792">
        <w:t xml:space="preserve"> without even a hint of humor</w:t>
      </w:r>
      <w:r w:rsidR="004146A2">
        <w:t xml:space="preserve"> alone in a dark hallway with periodic lights that seems to lead for eternity into a black vanishing point behind </w:t>
      </w:r>
      <w:r>
        <w:t>him</w:t>
      </w:r>
      <w:r w:rsidR="004146A2">
        <w:t>.</w:t>
      </w:r>
      <w:r>
        <w:t xml:space="preserve"> </w:t>
      </w:r>
      <w:r w:rsidR="00063BE4">
        <w:t>When the porter</w:t>
      </w:r>
      <w:r w:rsidR="00FC53AA">
        <w:t xml:space="preserve"> implicates </w:t>
      </w:r>
      <w:r w:rsidR="00063BE4">
        <w:t>the</w:t>
      </w:r>
      <w:r w:rsidR="00FC53AA">
        <w:t xml:space="preserve"> equivocator, </w:t>
      </w:r>
      <w:r w:rsidR="00063BE4">
        <w:t>as he</w:t>
      </w:r>
      <w:r w:rsidR="004B6097">
        <w:t xml:space="preserve"> speaks, “</w:t>
      </w:r>
      <w:r w:rsidR="00063BE4">
        <w:t xml:space="preserve">who could not equivocate </w:t>
      </w:r>
      <w:r w:rsidR="004B6097">
        <w:t xml:space="preserve">to heaven,” the camera racks the focus from the porter to the vanishing point behind him and the viewer realizes </w:t>
      </w:r>
      <w:r w:rsidR="002C060A">
        <w:t xml:space="preserve">two things. First, </w:t>
      </w:r>
      <w:r w:rsidR="004B6097">
        <w:t xml:space="preserve">that the vanishing point, although dark and distant, represents the desired destination—heaven. </w:t>
      </w:r>
      <w:r w:rsidR="002C060A">
        <w:t>Second,</w:t>
      </w:r>
      <w:r w:rsidR="004B6097">
        <w:t xml:space="preserve"> viewer</w:t>
      </w:r>
      <w:r w:rsidR="00550343">
        <w:t>s</w:t>
      </w:r>
      <w:r w:rsidR="004B6097">
        <w:t xml:space="preserve"> </w:t>
      </w:r>
      <w:r w:rsidR="00550343">
        <w:t>recognize</w:t>
      </w:r>
      <w:r w:rsidR="002C060A">
        <w:t xml:space="preserve"> </w:t>
      </w:r>
      <w:r w:rsidR="00550343">
        <w:t>their</w:t>
      </w:r>
      <w:r w:rsidR="002C060A">
        <w:t xml:space="preserve"> own position in relation to heaven; </w:t>
      </w:r>
      <w:r w:rsidR="000E105A">
        <w:t>the audience</w:t>
      </w:r>
      <w:r w:rsidR="002C060A">
        <w:t xml:space="preserve"> is at </w:t>
      </w:r>
      <w:r w:rsidR="004B6097">
        <w:t>the opposite end</w:t>
      </w:r>
      <w:r w:rsidR="00550343">
        <w:t xml:space="preserve"> of “heaven”</w:t>
      </w:r>
      <w:r w:rsidR="004B6097">
        <w:t xml:space="preserve">, </w:t>
      </w:r>
      <w:r w:rsidR="002C060A">
        <w:t xml:space="preserve">meaning </w:t>
      </w:r>
      <w:r w:rsidR="00550343">
        <w:t xml:space="preserve">we are </w:t>
      </w:r>
      <w:r w:rsidR="002C060A">
        <w:t>either</w:t>
      </w:r>
      <w:r w:rsidR="004B6097">
        <w:t xml:space="preserve"> </w:t>
      </w:r>
      <w:r w:rsidR="00011A3E">
        <w:t xml:space="preserve">currently </w:t>
      </w:r>
      <w:r w:rsidR="002C060A">
        <w:t xml:space="preserve">in hell, or close to it. </w:t>
      </w:r>
      <w:r w:rsidR="00173024">
        <w:t xml:space="preserve">This realization is further punctuated when </w:t>
      </w:r>
      <w:r w:rsidR="0060112C">
        <w:t xml:space="preserve">the viewer loses sight of </w:t>
      </w:r>
      <w:r w:rsidR="00E16734">
        <w:t xml:space="preserve">the distant heaven </w:t>
      </w:r>
      <w:r w:rsidR="0060112C">
        <w:t xml:space="preserve">to solid blackness behind the porter </w:t>
      </w:r>
      <w:r w:rsidR="00063BE4">
        <w:t>as</w:t>
      </w:r>
      <w:r w:rsidR="0060112C">
        <w:t xml:space="preserve"> he </w:t>
      </w:r>
      <w:r w:rsidR="00173024">
        <w:t xml:space="preserve">claims that he “had thought to have let in some of all professions that go the primrose way to th’everlasting bonfire.” </w:t>
      </w:r>
      <w:r w:rsidR="00550343">
        <w:t>The</w:t>
      </w:r>
      <w:r w:rsidR="003F75A0">
        <w:t xml:space="preserve"> vanishing point visual </w:t>
      </w:r>
      <w:r w:rsidR="00550343">
        <w:t xml:space="preserve">works again to show viewers </w:t>
      </w:r>
      <w:r w:rsidR="003F75A0">
        <w:t xml:space="preserve">that they are </w:t>
      </w:r>
      <w:r w:rsidR="00550343">
        <w:t>positioned</w:t>
      </w:r>
      <w:r w:rsidR="003F75A0">
        <w:t xml:space="preserve"> at the point where the path is widest, a long distance from the strait and narrow way leading to the vanishing point, or heaven.</w:t>
      </w:r>
      <w:r w:rsidR="00943A1F">
        <w:t xml:space="preserve"> </w:t>
      </w:r>
      <w:r w:rsidR="00550343">
        <w:t>In other words, v</w:t>
      </w:r>
      <w:r w:rsidR="00943A1F">
        <w:t>iewers are implicated right along with Macbeth for our complicity</w:t>
      </w:r>
      <w:r w:rsidR="00550343">
        <w:t xml:space="preserve"> in his crime, and we are </w:t>
      </w:r>
      <w:r w:rsidR="00F04EA5">
        <w:t>subject to the same condemnation</w:t>
      </w:r>
      <w:r w:rsidR="00C44260">
        <w:t xml:space="preserve">. Additionally, </w:t>
      </w:r>
      <w:r w:rsidR="00513792">
        <w:t>because</w:t>
      </w:r>
      <w:r w:rsidR="00C44260">
        <w:t xml:space="preserve"> Macbeth represents Stalin in this film, the audience is then complicit in the </w:t>
      </w:r>
      <w:r w:rsidR="005D5E70">
        <w:t xml:space="preserve">terror that </w:t>
      </w:r>
      <w:r w:rsidR="00513792">
        <w:t>occurred</w:t>
      </w:r>
      <w:r w:rsidR="005D5E70">
        <w:t xml:space="preserve"> under his </w:t>
      </w:r>
      <w:r w:rsidR="00513792">
        <w:t>regime</w:t>
      </w:r>
      <w:r w:rsidR="005D5E70">
        <w:t>—if not</w:t>
      </w:r>
      <w:r w:rsidR="00901CEA">
        <w:t xml:space="preserve"> through inaction during the events, then through forgetting them less than a century later. </w:t>
      </w:r>
    </w:p>
    <w:p w14:paraId="58F26BB3" w14:textId="001BDFD2" w:rsidR="007B7D18" w:rsidRDefault="00270FAF" w:rsidP="009F5CF8">
      <w:pPr>
        <w:spacing w:line="480" w:lineRule="auto"/>
        <w:ind w:firstLine="720"/>
      </w:pPr>
      <w:r>
        <w:t xml:space="preserve">Goold </w:t>
      </w:r>
      <w:r w:rsidR="004659AB">
        <w:t xml:space="preserve">subverts the audience’s expectations for </w:t>
      </w:r>
      <w:r>
        <w:t>porter</w:t>
      </w:r>
      <w:r w:rsidR="004659AB">
        <w:t>’s character and demonstrates that</w:t>
      </w:r>
      <w:r>
        <w:t xml:space="preserve"> </w:t>
      </w:r>
      <w:r w:rsidR="004659AB">
        <w:t>he has the moral</w:t>
      </w:r>
      <w:r>
        <w:t xml:space="preserve"> capacity to dole out this condemnation through very specific lighting choices. </w:t>
      </w:r>
      <w:r w:rsidR="002B4B23">
        <w:t>The porter carries a flashlight throughout this scene, shining it at the camera as if to examine the audience. Light is often a symbol for enlightenment or revelation. As the porter shines his light onto the audience, he is inviting them to analyze themselves and their own state of guilt. He holds the light source, implying that he is in</w:t>
      </w:r>
      <w:r w:rsidR="00513792">
        <w:t xml:space="preserve"> a position of power. When</w:t>
      </w:r>
      <w:r w:rsidR="002B4B23">
        <w:t xml:space="preserve"> the viewers lose sight of the vanishing point (which has periodic lights leading up to it) to total darkness, the porter is the only source of light. He seems to glow yellow, invoking </w:t>
      </w:r>
      <w:r w:rsidR="005F7812">
        <w:t xml:space="preserve">the image of a celestial being—an </w:t>
      </w:r>
      <w:r w:rsidR="00953097">
        <w:t>striking</w:t>
      </w:r>
      <w:r w:rsidR="005F7812">
        <w:t xml:space="preserve"> contrast to his filthy appearance. By illuminating the porter, Goold shows that the character is a kind of moral compass. As gatekeeper of hell, he has as much power as St. </w:t>
      </w:r>
    </w:p>
    <w:p w14:paraId="079C3C2A" w14:textId="2006D7BE" w:rsidR="003F75A0" w:rsidRDefault="005F7812" w:rsidP="009F5CF8">
      <w:pPr>
        <w:spacing w:line="480" w:lineRule="auto"/>
      </w:pPr>
      <w:r>
        <w:t xml:space="preserve">Peter to usher people in to damnation or </w:t>
      </w:r>
      <w:r w:rsidR="00953097">
        <w:t xml:space="preserve">turn them away to </w:t>
      </w:r>
      <w:r>
        <w:t xml:space="preserve">salvation. As he beams his flashlight into the camera and onto viewers, he becomes a reminder that to the viewers that what they do—and what Macbeth </w:t>
      </w:r>
      <w:r w:rsidR="00953097">
        <w:t>has done—has eternal consequences</w:t>
      </w:r>
      <w:r>
        <w:t>.</w:t>
      </w:r>
    </w:p>
    <w:p w14:paraId="61AD079D" w14:textId="112CA0C7" w:rsidR="00262F6F" w:rsidRDefault="009F5CF8" w:rsidP="009F5CF8">
      <w:pPr>
        <w:spacing w:line="480" w:lineRule="auto"/>
        <w:ind w:firstLine="720"/>
      </w:pPr>
      <w:r>
        <w:t>With these associations in mind,</w:t>
      </w:r>
      <w:r w:rsidR="005F7812">
        <w:t xml:space="preserve"> the porter scene </w:t>
      </w:r>
      <w:r>
        <w:t>becomes</w:t>
      </w:r>
      <w:r w:rsidR="005F7812">
        <w:t xml:space="preserve"> a frame for the rest of the film. The porter foreshadows the destruction that is soon to come to Macbeth—not just mortally, but eternally. </w:t>
      </w:r>
      <w:r w:rsidR="00E37C2B">
        <w:t>The</w:t>
      </w:r>
      <w:r w:rsidR="005F7812">
        <w:t xml:space="preserve"> porter closes this scene by looking directly at the camera and warns, “I pray you remember the porter.” The </w:t>
      </w:r>
      <w:r>
        <w:t>porter</w:t>
      </w:r>
      <w:r w:rsidR="005F7812">
        <w:t xml:space="preserve"> </w:t>
      </w:r>
      <w:r w:rsidR="00E37C2B">
        <w:t xml:space="preserve">places heavy emphasis on the last three words, turning </w:t>
      </w:r>
      <w:r>
        <w:t>his</w:t>
      </w:r>
      <w:r w:rsidR="00E37C2B">
        <w:t xml:space="preserve"> request for a tip into a chilling </w:t>
      </w:r>
      <w:r w:rsidR="00C55E3E">
        <w:t>message that lingers as the viewers stand by to watch Macbeth bring about his own destruction and eternal damnation, falling so far from of the view of heaven that he loses all perspective to a vast expanse of pitch black.</w:t>
      </w:r>
    </w:p>
    <w:p w14:paraId="09FE25A7" w14:textId="27213674" w:rsidR="005D7E0E" w:rsidRPr="00C95147" w:rsidRDefault="00E83446" w:rsidP="00387478">
      <w:pPr>
        <w:spacing w:line="480" w:lineRule="auto"/>
        <w:ind w:firstLine="720"/>
      </w:pPr>
      <w:r w:rsidRPr="00C95147">
        <w:t xml:space="preserve">The porter’s scene as portrayed by Rupert Goold then </w:t>
      </w:r>
      <w:r w:rsidR="009F5CF8">
        <w:t>casts a dark shadow</w:t>
      </w:r>
      <w:r w:rsidRPr="00C95147">
        <w:t xml:space="preserve"> on Ross’s advice to Lady Macduff as she mourns her husband’</w:t>
      </w:r>
      <w:r w:rsidR="00387478">
        <w:t>s absence, “</w:t>
      </w:r>
      <w:r w:rsidR="005D7E0E" w:rsidRPr="00C95147">
        <w:t>But cruel are the times when we are traitors</w:t>
      </w:r>
      <w:r w:rsidR="00387478">
        <w:t xml:space="preserve"> / </w:t>
      </w:r>
      <w:r w:rsidR="005D7E0E" w:rsidRPr="00C95147">
        <w:t>And do not know ourselves; when we hold rumour</w:t>
      </w:r>
      <w:r w:rsidR="00387478">
        <w:t xml:space="preserve"> / </w:t>
      </w:r>
      <w:r w:rsidR="005D7E0E" w:rsidRPr="00C95147">
        <w:t>From what we fear, yet know not what we fear,</w:t>
      </w:r>
      <w:r w:rsidR="00387478">
        <w:t xml:space="preserve"> / </w:t>
      </w:r>
      <w:r w:rsidR="005D7E0E" w:rsidRPr="00C95147">
        <w:t>But float upon a wild and violent sea</w:t>
      </w:r>
      <w:r w:rsidR="00387478">
        <w:t xml:space="preserve"> / </w:t>
      </w:r>
      <w:r w:rsidR="005D7E0E" w:rsidRPr="00C95147">
        <w:t>Each way and none</w:t>
      </w:r>
      <w:r w:rsidR="00387478">
        <w:t xml:space="preserve">” </w:t>
      </w:r>
      <w:r w:rsidR="005D7E0E" w:rsidRPr="00C95147">
        <w:t>(4.2.18–22)</w:t>
      </w:r>
      <w:r w:rsidR="00387478">
        <w:t xml:space="preserve">. </w:t>
      </w:r>
      <w:r w:rsidR="005D7E0E" w:rsidRPr="00C95147">
        <w:t>Ross</w:t>
      </w:r>
      <w:r w:rsidR="00C95147">
        <w:t>,</w:t>
      </w:r>
      <w:r w:rsidR="005D7E0E" w:rsidRPr="00C95147">
        <w:t xml:space="preserve"> in</w:t>
      </w:r>
      <w:r w:rsidR="00C95147">
        <w:t xml:space="preserve"> the last two lines of</w:t>
      </w:r>
      <w:r w:rsidR="005D7E0E" w:rsidRPr="00C95147">
        <w:t xml:space="preserve"> this passage</w:t>
      </w:r>
      <w:r w:rsidR="00C95147">
        <w:t>,</w:t>
      </w:r>
      <w:r w:rsidR="005D7E0E" w:rsidRPr="00C95147">
        <w:t xml:space="preserve"> </w:t>
      </w:r>
      <w:r w:rsidR="00C95147">
        <w:t>seems</w:t>
      </w:r>
      <w:r w:rsidR="00C95147" w:rsidRPr="00C95147">
        <w:t xml:space="preserve"> to </w:t>
      </w:r>
      <w:r w:rsidR="00C95147">
        <w:t>allude</w:t>
      </w:r>
      <w:r w:rsidR="005D7E0E" w:rsidRPr="00C95147">
        <w:t xml:space="preserve"> to Ephesians 4:11–14, which reads:</w:t>
      </w:r>
    </w:p>
    <w:p w14:paraId="53725962" w14:textId="2FC42B47" w:rsidR="005D7E0E" w:rsidRPr="00C95147" w:rsidRDefault="005D7E0E" w:rsidP="009F5CF8">
      <w:pPr>
        <w:spacing w:line="480" w:lineRule="auto"/>
        <w:ind w:left="1440"/>
      </w:pPr>
      <w:r w:rsidRPr="00C95147">
        <w:t>And he gave some, apostles; and some, prophets; and some, evangelists; and some, pastors and teachers; For the perfecting of the saints, for the work of the ministry, for the edifying of the body of Christ: Till we all come in the unity of the faith…</w:t>
      </w:r>
      <w:r w:rsidRPr="000462EF">
        <w:rPr>
          <w:i/>
        </w:rPr>
        <w:t>That we henceforth be no more children, tossed to and fro, and carried about with every wind of doctrine</w:t>
      </w:r>
      <w:r w:rsidRPr="00C95147">
        <w:t>, by the sleight of men, and cunning craftiness, whereby they lie in wait to deceive. </w:t>
      </w:r>
      <w:r w:rsidR="000462EF">
        <w:t>[Emphasis added]</w:t>
      </w:r>
    </w:p>
    <w:p w14:paraId="322B37DC" w14:textId="3548FC8E" w:rsidR="00CB5546" w:rsidRDefault="000462EF" w:rsidP="009F5CF8">
      <w:pPr>
        <w:spacing w:line="480" w:lineRule="auto"/>
      </w:pPr>
      <w:r>
        <w:t xml:space="preserve">It’s important to note that in Shakespeare’s day, the king was another religious leader and was seen as divinely ordained to his role. Given the context of the scripture and the porter’s definitive condemnation of leaders who equivocate and betray the responsibilities of their social title, Ross’s words further </w:t>
      </w:r>
      <w:r w:rsidR="009F5CF8">
        <w:t>condemn</w:t>
      </w:r>
      <w:r>
        <w:t xml:space="preserve"> Macbeth—and therefore the equivocating priest</w:t>
      </w:r>
      <w:r w:rsidR="009F5CF8">
        <w:t>—for their deception</w:t>
      </w:r>
      <w:r>
        <w:t xml:space="preserve">. Both men are leaders who are supposed to unify their people, but who choose self-interest over the good of the country, which leads to the country’s demise. It </w:t>
      </w:r>
      <w:r w:rsidR="009F5CF8">
        <w:t>falls on</w:t>
      </w:r>
      <w:r>
        <w:t xml:space="preserve"> the nation’s leader to guide it safely through the stormy seas, and </w:t>
      </w:r>
      <w:r w:rsidR="009F5CF8">
        <w:t>betraying</w:t>
      </w:r>
      <w:r>
        <w:t xml:space="preserve"> that </w:t>
      </w:r>
      <w:r w:rsidR="00CB5546">
        <w:t xml:space="preserve">calling is a grievous sin certain to send </w:t>
      </w:r>
      <w:r w:rsidR="009F5CF8">
        <w:t>the perpetrator</w:t>
      </w:r>
      <w:r w:rsidR="00CB5546">
        <w:t xml:space="preserve"> to hell’s gates, welcomed by the devil’s porter.</w:t>
      </w:r>
    </w:p>
    <w:p w14:paraId="2466EB21" w14:textId="43FF5D8E" w:rsidR="0016322D" w:rsidRDefault="00CB5546" w:rsidP="009F5CF8">
      <w:pPr>
        <w:spacing w:line="480" w:lineRule="auto"/>
      </w:pPr>
      <w:r>
        <w:tab/>
      </w:r>
      <w:r w:rsidR="000462EF">
        <w:t xml:space="preserve"> </w:t>
      </w:r>
      <w:r>
        <w:t xml:space="preserve">With </w:t>
      </w:r>
      <w:r w:rsidR="00E80F02">
        <w:t xml:space="preserve">each tyrant that </w:t>
      </w:r>
      <w:r w:rsidR="00AC7354">
        <w:t xml:space="preserve">corrodes a nation, </w:t>
      </w:r>
      <w:r w:rsidR="0016322D">
        <w:t>parallels are drawn</w:t>
      </w:r>
      <w:r w:rsidR="00AC7354">
        <w:t xml:space="preserve"> to previous totalitarian disasters, and society swears to never return to that place. We look back at the Nazi regime and wonder how they could have fallen for Hitler’s blatant anti-Semitism. We wonder how Russians could have justified murder in favor of the “greater good” rhetoric of Stalin. And yet Americans find ourselves with a President-Elect who denounces Muslims, Syrian refugees, Mexican immigrants, and anyone who voices opinions </w:t>
      </w:r>
      <w:r w:rsidR="009F5CF8">
        <w:t>contrary to</w:t>
      </w:r>
      <w:r w:rsidR="00AC7354">
        <w:t xml:space="preserve"> his own. We are once again in a precarious situation with a leader </w:t>
      </w:r>
      <w:r w:rsidR="0016322D">
        <w:t xml:space="preserve">suspicious of “rigged elections” and “biased media,” but </w:t>
      </w:r>
      <w:r w:rsidR="00AC7354">
        <w:t>who has not earned the people’s trust</w:t>
      </w:r>
      <w:r w:rsidR="0016322D">
        <w:t xml:space="preserve"> himself</w:t>
      </w:r>
      <w:r w:rsidR="00AC7354">
        <w:t>.</w:t>
      </w:r>
      <w:r w:rsidR="00F018A5">
        <w:t xml:space="preserve"> </w:t>
      </w:r>
      <w:r w:rsidR="0016322D">
        <w:t>It is narcissistic bullies like these who are fated to repeat the cycle of destruction for the nation they lead. It’s no wonder that historians worry for the future of our country.</w:t>
      </w:r>
    </w:p>
    <w:p w14:paraId="3C0928EC" w14:textId="4EDB0BF3" w:rsidR="00AC7354" w:rsidRDefault="0016322D" w:rsidP="009F5CF8">
      <w:pPr>
        <w:spacing w:line="480" w:lineRule="auto"/>
        <w:ind w:firstLine="720"/>
      </w:pPr>
      <w:r>
        <w:t>But it is because society repeats this cycle that scholars</w:t>
      </w:r>
      <w:r w:rsidR="00AC7354">
        <w:t xml:space="preserve"> are able to continue learning from Shakespeare’s works. Frye claims, “[Shakespeare’s] genius included an instinctive grasp of what is perennial in human nature, whatever the particular historical circumstances of numbers counted” (103). Shakespeare was able to capture those common threads of the tragedies that repeat themselves. His characters embody the human condition in such a way that transcends the bounds of time and circumstance. </w:t>
      </w:r>
      <w:r w:rsidR="00F018A5">
        <w:t>And, as humanity fail</w:t>
      </w:r>
      <w:r w:rsidR="009F5CF8">
        <w:t>s</w:t>
      </w:r>
      <w:r w:rsidR="00F018A5">
        <w:t xml:space="preserve"> to learn its lesson over and over again, Shakespeare’</w:t>
      </w:r>
      <w:r w:rsidR="009F5CF8">
        <w:t>s plays will continue to hold</w:t>
      </w:r>
      <w:r w:rsidR="00F018A5">
        <w:t xml:space="preserve"> relevant </w:t>
      </w:r>
      <w:r w:rsidR="009F5CF8">
        <w:t xml:space="preserve">messages </w:t>
      </w:r>
      <w:r w:rsidR="00F018A5">
        <w:t>for centuries to come.</w:t>
      </w:r>
    </w:p>
    <w:p w14:paraId="3F37414A" w14:textId="77777777" w:rsidR="0016322D" w:rsidRDefault="0016322D" w:rsidP="009F5CF8">
      <w:pPr>
        <w:spacing w:line="480" w:lineRule="auto"/>
      </w:pPr>
      <w:r>
        <w:br w:type="page"/>
      </w:r>
    </w:p>
    <w:p w14:paraId="08AFDD28" w14:textId="3D0D3857" w:rsidR="00A870CE" w:rsidRDefault="00A870CE" w:rsidP="009F5CF8">
      <w:pPr>
        <w:spacing w:line="480" w:lineRule="auto"/>
        <w:ind w:firstLine="720"/>
        <w:jc w:val="center"/>
      </w:pPr>
      <w:r>
        <w:t>Works Cited:</w:t>
      </w:r>
    </w:p>
    <w:p w14:paraId="3C4E6056" w14:textId="49E0058B" w:rsidR="004A5D3D" w:rsidRPr="00E810B3" w:rsidRDefault="004A5D3D" w:rsidP="009F5CF8">
      <w:pPr>
        <w:spacing w:line="480" w:lineRule="auto"/>
        <w:ind w:left="720" w:hanging="720"/>
        <w:rPr>
          <w:rFonts w:eastAsia="Times New Roman"/>
          <w:color w:val="262626"/>
          <w:shd w:val="clear" w:color="auto" w:fill="FFFFFF"/>
        </w:rPr>
      </w:pPr>
      <w:r w:rsidRPr="00E810B3">
        <w:rPr>
          <w:rFonts w:eastAsia="Times New Roman"/>
          <w:color w:val="262626"/>
          <w:shd w:val="clear" w:color="auto" w:fill="FFFFFF"/>
        </w:rPr>
        <w:t>Frye, Roland Mushat. “Hitler, Stalin, and Shakespeare's Macbeth: Modern Totalitarianism and Ancient Tyranny.”</w:t>
      </w:r>
      <w:r w:rsidRPr="00E810B3">
        <w:rPr>
          <w:color w:val="262626"/>
        </w:rPr>
        <w:t> </w:t>
      </w:r>
      <w:r w:rsidRPr="00B03FAB">
        <w:rPr>
          <w:rFonts w:eastAsia="Times New Roman"/>
          <w:i/>
          <w:color w:val="262626"/>
          <w:shd w:val="clear" w:color="auto" w:fill="FFFFFF"/>
        </w:rPr>
        <w:t>Proceedings of the American Philosophical Society</w:t>
      </w:r>
      <w:r w:rsidRPr="00E810B3">
        <w:rPr>
          <w:rFonts w:eastAsia="Times New Roman"/>
          <w:color w:val="262626"/>
          <w:shd w:val="clear" w:color="auto" w:fill="FFFFFF"/>
        </w:rPr>
        <w:t>, vol. 142, no. 1, 1998, pp. 81–109</w:t>
      </w:r>
      <w:r w:rsidR="00061B9F">
        <w:rPr>
          <w:rFonts w:eastAsia="Times New Roman"/>
          <w:color w:val="262626"/>
          <w:shd w:val="clear" w:color="auto" w:fill="FFFFFF"/>
        </w:rPr>
        <w:t>. JSTOR</w:t>
      </w:r>
      <w:r w:rsidRPr="00E810B3">
        <w:rPr>
          <w:rFonts w:eastAsia="Times New Roman"/>
          <w:color w:val="262626"/>
          <w:shd w:val="clear" w:color="auto" w:fill="FFFFFF"/>
        </w:rPr>
        <w:t>.</w:t>
      </w:r>
      <w:r w:rsidR="00B03FAB">
        <w:rPr>
          <w:rFonts w:eastAsia="Times New Roman"/>
          <w:color w:val="262626"/>
          <w:shd w:val="clear" w:color="auto" w:fill="FFFFFF"/>
        </w:rPr>
        <w:t xml:space="preserve"> Accessed 2 December 2016.</w:t>
      </w:r>
    </w:p>
    <w:p w14:paraId="78711690" w14:textId="3F52EDDD" w:rsidR="00E604C0" w:rsidRPr="00E810B3" w:rsidRDefault="0049193D" w:rsidP="009F5CF8">
      <w:pPr>
        <w:spacing w:line="480" w:lineRule="auto"/>
        <w:ind w:left="720" w:hanging="720"/>
        <w:rPr>
          <w:rFonts w:eastAsia="Times New Roman"/>
          <w:color w:val="262626"/>
          <w:shd w:val="clear" w:color="auto" w:fill="FFFFFF"/>
        </w:rPr>
      </w:pPr>
      <w:r w:rsidRPr="00E810B3">
        <w:rPr>
          <w:rFonts w:eastAsia="Times New Roman"/>
          <w:color w:val="262626"/>
          <w:shd w:val="clear" w:color="auto" w:fill="FFFFFF"/>
        </w:rPr>
        <w:t>Goold, Rupert, and Patrick Stewart</w:t>
      </w:r>
      <w:r w:rsidR="002254E8" w:rsidRPr="00E810B3">
        <w:rPr>
          <w:rFonts w:eastAsia="Times New Roman"/>
          <w:color w:val="262626"/>
          <w:shd w:val="clear" w:color="auto" w:fill="FFFFFF"/>
        </w:rPr>
        <w:t xml:space="preserve">. Interview </w:t>
      </w:r>
      <w:r w:rsidR="002160D7" w:rsidRPr="00E810B3">
        <w:rPr>
          <w:rFonts w:eastAsia="Times New Roman"/>
          <w:color w:val="262626"/>
          <w:shd w:val="clear" w:color="auto" w:fill="FFFFFF"/>
        </w:rPr>
        <w:t>by</w:t>
      </w:r>
      <w:r w:rsidR="002254E8" w:rsidRPr="00E810B3">
        <w:rPr>
          <w:rFonts w:eastAsia="Times New Roman"/>
          <w:color w:val="262626"/>
          <w:shd w:val="clear" w:color="auto" w:fill="FFFFFF"/>
        </w:rPr>
        <w:t xml:space="preserve"> Michael Riedel and Susan Haskins. </w:t>
      </w:r>
      <w:r w:rsidR="002254E8" w:rsidRPr="00061B9F">
        <w:rPr>
          <w:rFonts w:eastAsia="Times New Roman"/>
          <w:i/>
          <w:color w:val="262626"/>
          <w:shd w:val="clear" w:color="auto" w:fill="FFFFFF"/>
        </w:rPr>
        <w:t>Theater Talk</w:t>
      </w:r>
      <w:r w:rsidR="002254E8" w:rsidRPr="00E810B3">
        <w:rPr>
          <w:rFonts w:eastAsia="Times New Roman"/>
          <w:color w:val="262626"/>
          <w:shd w:val="clear" w:color="auto" w:fill="FFFFFF"/>
        </w:rPr>
        <w:t xml:space="preserve">. </w:t>
      </w:r>
      <w:r w:rsidR="00F36F53" w:rsidRPr="00E810B3">
        <w:rPr>
          <w:rFonts w:eastAsia="Times New Roman"/>
          <w:color w:val="262626"/>
          <w:shd w:val="clear" w:color="auto" w:fill="FFFFFF"/>
        </w:rPr>
        <w:t xml:space="preserve">18 Apr. </w:t>
      </w:r>
      <w:r w:rsidR="00B52B48" w:rsidRPr="00E810B3">
        <w:rPr>
          <w:rFonts w:eastAsia="Times New Roman"/>
          <w:color w:val="262626"/>
          <w:shd w:val="clear" w:color="auto" w:fill="FFFFFF"/>
        </w:rPr>
        <w:t xml:space="preserve">2008. </w:t>
      </w:r>
      <w:r w:rsidR="00F36F53" w:rsidRPr="00E810B3">
        <w:rPr>
          <w:rFonts w:eastAsia="Times New Roman"/>
          <w:color w:val="262626"/>
          <w:shd w:val="clear" w:color="auto" w:fill="FFFFFF"/>
        </w:rPr>
        <w:t xml:space="preserve">Web. </w:t>
      </w:r>
      <w:r w:rsidR="00B03FAB">
        <w:rPr>
          <w:rFonts w:eastAsia="Times New Roman"/>
          <w:color w:val="262626"/>
          <w:shd w:val="clear" w:color="auto" w:fill="FFFFFF"/>
        </w:rPr>
        <w:t xml:space="preserve">Accessed </w:t>
      </w:r>
      <w:r w:rsidR="00F36F53" w:rsidRPr="00E810B3">
        <w:rPr>
          <w:rFonts w:eastAsia="Times New Roman"/>
          <w:color w:val="262626"/>
          <w:shd w:val="clear" w:color="auto" w:fill="FFFFFF"/>
        </w:rPr>
        <w:t xml:space="preserve">3 Dec 2016. </w:t>
      </w:r>
    </w:p>
    <w:p w14:paraId="170879AD" w14:textId="77777777" w:rsidR="00E810B3" w:rsidRPr="00E810B3" w:rsidRDefault="00E810B3" w:rsidP="009F5CF8">
      <w:pPr>
        <w:spacing w:line="480" w:lineRule="auto"/>
        <w:ind w:left="720" w:hanging="720"/>
        <w:rPr>
          <w:rFonts w:eastAsia="Times New Roman"/>
          <w:color w:val="262626"/>
          <w:shd w:val="clear" w:color="auto" w:fill="FFFFFF"/>
        </w:rPr>
      </w:pPr>
      <w:r w:rsidRPr="00E810B3">
        <w:rPr>
          <w:rFonts w:eastAsia="Times New Roman"/>
          <w:color w:val="262626"/>
          <w:shd w:val="clear" w:color="auto" w:fill="FFFFFF"/>
        </w:rPr>
        <w:t xml:space="preserve">Greenblatt, Stephen. “Macbeth.” </w:t>
      </w:r>
      <w:r w:rsidRPr="00061B9F">
        <w:rPr>
          <w:rFonts w:eastAsia="Times New Roman"/>
          <w:i/>
          <w:color w:val="262626"/>
          <w:shd w:val="clear" w:color="auto" w:fill="FFFFFF"/>
        </w:rPr>
        <w:t>The Norton Shakespeare</w:t>
      </w:r>
      <w:r w:rsidRPr="00E810B3">
        <w:rPr>
          <w:rFonts w:eastAsia="Times New Roman"/>
          <w:color w:val="262626"/>
          <w:shd w:val="clear" w:color="auto" w:fill="FFFFFF"/>
        </w:rPr>
        <w:t>. Ed. Stephen Greenblatt, W.W. Norton and Company, Inc., 2009. 1343–51. Print.</w:t>
      </w:r>
    </w:p>
    <w:p w14:paraId="149F2718" w14:textId="6AE439DC" w:rsidR="00F36F53" w:rsidRPr="00E810B3" w:rsidRDefault="00216FE3" w:rsidP="009F5CF8">
      <w:pPr>
        <w:spacing w:line="480" w:lineRule="auto"/>
        <w:ind w:left="720" w:hanging="720"/>
        <w:rPr>
          <w:rFonts w:eastAsia="Times New Roman"/>
          <w:color w:val="262626"/>
          <w:shd w:val="clear" w:color="auto" w:fill="FFFFFF"/>
        </w:rPr>
      </w:pPr>
      <w:r w:rsidRPr="00E810B3">
        <w:rPr>
          <w:rFonts w:eastAsia="Times New Roman"/>
          <w:i/>
          <w:color w:val="262626"/>
          <w:shd w:val="clear" w:color="auto" w:fill="FFFFFF"/>
        </w:rPr>
        <w:t>Macbeth</w:t>
      </w:r>
      <w:r w:rsidRPr="00E810B3">
        <w:rPr>
          <w:rFonts w:eastAsia="Times New Roman"/>
          <w:color w:val="262626"/>
          <w:shd w:val="clear" w:color="auto" w:fill="FFFFFF"/>
        </w:rPr>
        <w:t xml:space="preserve">. Directed by Rupert Goold. </w:t>
      </w:r>
      <w:r w:rsidR="00A07587" w:rsidRPr="00E810B3">
        <w:rPr>
          <w:rFonts w:eastAsia="Times New Roman"/>
          <w:color w:val="262626"/>
          <w:shd w:val="clear" w:color="auto" w:fill="FFFFFF"/>
        </w:rPr>
        <w:t xml:space="preserve">BBC Four, 2010. </w:t>
      </w:r>
    </w:p>
    <w:p w14:paraId="53A38E64" w14:textId="0B6A8D86" w:rsidR="00E810B3" w:rsidRDefault="00E810B3" w:rsidP="009F5CF8">
      <w:pPr>
        <w:spacing w:line="480" w:lineRule="auto"/>
        <w:ind w:left="720" w:hanging="720"/>
        <w:rPr>
          <w:rFonts w:eastAsia="Times New Roman"/>
          <w:color w:val="262626"/>
          <w:shd w:val="clear" w:color="auto" w:fill="FFFFFF"/>
        </w:rPr>
      </w:pPr>
      <w:r w:rsidRPr="00E810B3">
        <w:rPr>
          <w:rFonts w:eastAsia="Times New Roman"/>
          <w:color w:val="262626"/>
          <w:shd w:val="clear" w:color="auto" w:fill="FFFFFF"/>
        </w:rPr>
        <w:t>Rhodes, Neil, and Stuart Gillespie.</w:t>
      </w:r>
      <w:r w:rsidRPr="00E810B3">
        <w:t> </w:t>
      </w:r>
      <w:r w:rsidRPr="00B03FAB">
        <w:rPr>
          <w:rFonts w:eastAsia="Times New Roman"/>
          <w:i/>
          <w:color w:val="262626"/>
          <w:shd w:val="clear" w:color="auto" w:fill="FFFFFF"/>
        </w:rPr>
        <w:t xml:space="preserve">Shakespeare </w:t>
      </w:r>
      <w:r w:rsidR="00B03FAB" w:rsidRPr="00B03FAB">
        <w:rPr>
          <w:rFonts w:eastAsia="Times New Roman"/>
          <w:i/>
          <w:color w:val="262626"/>
          <w:shd w:val="clear" w:color="auto" w:fill="FFFFFF"/>
        </w:rPr>
        <w:t>And Elizabethan Popular Culture</w:t>
      </w:r>
      <w:r w:rsidRPr="00B03FAB">
        <w:rPr>
          <w:rFonts w:eastAsia="Times New Roman"/>
          <w:i/>
          <w:color w:val="262626"/>
          <w:shd w:val="clear" w:color="auto" w:fill="FFFFFF"/>
        </w:rPr>
        <w:t>: Arden Critical Companion</w:t>
      </w:r>
      <w:r w:rsidRPr="00E810B3">
        <w:rPr>
          <w:rFonts w:eastAsia="Times New Roman"/>
          <w:color w:val="262626"/>
          <w:shd w:val="clear" w:color="auto" w:fill="FFFFFF"/>
        </w:rPr>
        <w:t>. London: Arden Shakespeare, 2006.</w:t>
      </w:r>
      <w:r w:rsidR="00B03FAB">
        <w:rPr>
          <w:rFonts w:eastAsia="Times New Roman"/>
          <w:color w:val="262626"/>
          <w:shd w:val="clear" w:color="auto" w:fill="FFFFFF"/>
        </w:rPr>
        <w:t xml:space="preserve"> eBook.</w:t>
      </w:r>
    </w:p>
    <w:p w14:paraId="44E782BC" w14:textId="6B2A02C4" w:rsidR="003A57EF" w:rsidRPr="00E810B3" w:rsidRDefault="003A57EF" w:rsidP="009F5CF8">
      <w:pPr>
        <w:spacing w:line="480" w:lineRule="auto"/>
        <w:ind w:left="720" w:hanging="720"/>
        <w:rPr>
          <w:rFonts w:eastAsia="Times New Roman"/>
          <w:color w:val="262626"/>
          <w:shd w:val="clear" w:color="auto" w:fill="FFFFFF"/>
        </w:rPr>
      </w:pPr>
      <w:r w:rsidRPr="00E810B3">
        <w:rPr>
          <w:rFonts w:eastAsia="Times New Roman"/>
          <w:color w:val="262626"/>
          <w:shd w:val="clear" w:color="auto" w:fill="FFFFFF"/>
        </w:rPr>
        <w:t xml:space="preserve">Shakespeare, William. </w:t>
      </w:r>
      <w:r w:rsidRPr="00061B9F">
        <w:rPr>
          <w:rFonts w:eastAsia="Times New Roman"/>
          <w:i/>
          <w:color w:val="262626"/>
          <w:shd w:val="clear" w:color="auto" w:fill="FFFFFF"/>
        </w:rPr>
        <w:t>Macbeth</w:t>
      </w:r>
      <w:r w:rsidRPr="00E810B3">
        <w:rPr>
          <w:rFonts w:eastAsia="Times New Roman"/>
          <w:color w:val="262626"/>
          <w:shd w:val="clear" w:color="auto" w:fill="FFFFFF"/>
        </w:rPr>
        <w:t xml:space="preserve">. </w:t>
      </w:r>
      <w:r w:rsidR="004359A6" w:rsidRPr="00061B9F">
        <w:rPr>
          <w:rFonts w:eastAsia="Times New Roman"/>
          <w:i/>
          <w:color w:val="262626"/>
          <w:shd w:val="clear" w:color="auto" w:fill="FFFFFF"/>
        </w:rPr>
        <w:t>The Norton Shakespeare</w:t>
      </w:r>
      <w:r w:rsidR="004359A6" w:rsidRPr="00E810B3">
        <w:rPr>
          <w:rFonts w:eastAsia="Times New Roman"/>
          <w:color w:val="262626"/>
          <w:shd w:val="clear" w:color="auto" w:fill="FFFFFF"/>
        </w:rPr>
        <w:t xml:space="preserve">. Ed. </w:t>
      </w:r>
      <w:r w:rsidR="004478EF" w:rsidRPr="00E810B3">
        <w:rPr>
          <w:rFonts w:eastAsia="Times New Roman"/>
          <w:color w:val="262626"/>
          <w:shd w:val="clear" w:color="auto" w:fill="FFFFFF"/>
        </w:rPr>
        <w:t>Stephen Greenblatt,</w:t>
      </w:r>
      <w:r w:rsidR="004359A6" w:rsidRPr="00E810B3">
        <w:rPr>
          <w:rFonts w:eastAsia="Times New Roman"/>
          <w:color w:val="262626"/>
          <w:shd w:val="clear" w:color="auto" w:fill="FFFFFF"/>
        </w:rPr>
        <w:t xml:space="preserve"> </w:t>
      </w:r>
      <w:r w:rsidR="003C0003" w:rsidRPr="00E810B3">
        <w:rPr>
          <w:rFonts w:eastAsia="Times New Roman"/>
          <w:color w:val="262626"/>
          <w:shd w:val="clear" w:color="auto" w:fill="FFFFFF"/>
        </w:rPr>
        <w:t xml:space="preserve">W.W. Norton and Company, Inc., 2009. </w:t>
      </w:r>
      <w:r w:rsidR="004478EF" w:rsidRPr="00E810B3">
        <w:rPr>
          <w:rFonts w:eastAsia="Times New Roman"/>
          <w:color w:val="262626"/>
          <w:shd w:val="clear" w:color="auto" w:fill="FFFFFF"/>
        </w:rPr>
        <w:t>1353–1406. Print.</w:t>
      </w:r>
    </w:p>
    <w:p w14:paraId="673D8DCE" w14:textId="53A3978D" w:rsidR="00351683" w:rsidRPr="00E810B3" w:rsidRDefault="00351683" w:rsidP="009F5CF8">
      <w:pPr>
        <w:spacing w:line="480" w:lineRule="auto"/>
        <w:ind w:left="720" w:hanging="720"/>
        <w:rPr>
          <w:rFonts w:eastAsia="Times New Roman"/>
          <w:color w:val="262626"/>
          <w:shd w:val="clear" w:color="auto" w:fill="FFFFFF"/>
        </w:rPr>
      </w:pPr>
      <w:r w:rsidRPr="00E810B3">
        <w:rPr>
          <w:rFonts w:eastAsia="Times New Roman"/>
          <w:i/>
          <w:color w:val="262626"/>
          <w:shd w:val="clear" w:color="auto" w:fill="FFFFFF"/>
        </w:rPr>
        <w:t>Stalin: Inside the Terror</w:t>
      </w:r>
      <w:r w:rsidRPr="00E810B3">
        <w:rPr>
          <w:rFonts w:eastAsia="Times New Roman"/>
          <w:color w:val="262626"/>
          <w:shd w:val="clear" w:color="auto" w:fill="FFFFFF"/>
        </w:rPr>
        <w:t xml:space="preserve">. Directed by Tony Bulley. Granada Productions, </w:t>
      </w:r>
      <w:r w:rsidR="000536F2" w:rsidRPr="00E810B3">
        <w:rPr>
          <w:rFonts w:eastAsia="Times New Roman"/>
          <w:color w:val="262626"/>
          <w:shd w:val="clear" w:color="auto" w:fill="FFFFFF"/>
        </w:rPr>
        <w:t>2003</w:t>
      </w:r>
      <w:r w:rsidRPr="00E810B3">
        <w:rPr>
          <w:rFonts w:eastAsia="Times New Roman"/>
          <w:color w:val="262626"/>
          <w:shd w:val="clear" w:color="auto" w:fill="FFFFFF"/>
        </w:rPr>
        <w:t>.</w:t>
      </w:r>
    </w:p>
    <w:p w14:paraId="5829F793" w14:textId="77777777" w:rsidR="00E810B3" w:rsidRPr="00E810B3" w:rsidRDefault="00E810B3" w:rsidP="009F5CF8">
      <w:pPr>
        <w:spacing w:line="480" w:lineRule="auto"/>
        <w:ind w:left="720" w:hanging="720"/>
        <w:rPr>
          <w:rFonts w:eastAsia="Times New Roman"/>
          <w:color w:val="262626"/>
          <w:shd w:val="clear" w:color="auto" w:fill="FFFFFF"/>
        </w:rPr>
      </w:pPr>
      <w:r w:rsidRPr="00E810B3">
        <w:rPr>
          <w:i/>
          <w:iCs/>
          <w:color w:val="262626"/>
        </w:rPr>
        <w:t>The Bible. Authorized King James Version,</w:t>
      </w:r>
      <w:r w:rsidRPr="00E810B3">
        <w:rPr>
          <w:color w:val="262626"/>
        </w:rPr>
        <w:t> </w:t>
      </w:r>
      <w:r w:rsidRPr="00E810B3">
        <w:rPr>
          <w:rFonts w:eastAsia="Times New Roman"/>
          <w:color w:val="262626"/>
          <w:shd w:val="clear" w:color="auto" w:fill="FFFFFF"/>
        </w:rPr>
        <w:t>Oxford UP, 1998.</w:t>
      </w:r>
    </w:p>
    <w:p w14:paraId="29BF9C2B" w14:textId="77777777" w:rsidR="00276136" w:rsidRPr="00E810B3" w:rsidRDefault="00276136" w:rsidP="009F5CF8">
      <w:pPr>
        <w:spacing w:line="480" w:lineRule="auto"/>
        <w:ind w:left="720" w:hanging="720"/>
        <w:rPr>
          <w:rFonts w:eastAsia="Times New Roman"/>
          <w:color w:val="262626"/>
          <w:shd w:val="clear" w:color="auto" w:fill="FFFFFF"/>
        </w:rPr>
      </w:pPr>
    </w:p>
    <w:p w14:paraId="42011CBE" w14:textId="77777777" w:rsidR="004A5D3D" w:rsidRDefault="004A5D3D" w:rsidP="009F5CF8">
      <w:pPr>
        <w:spacing w:line="480" w:lineRule="auto"/>
        <w:rPr>
          <w:rFonts w:eastAsia="Times New Roman"/>
        </w:rPr>
      </w:pPr>
    </w:p>
    <w:p w14:paraId="57780CE6" w14:textId="77777777" w:rsidR="00A870CE" w:rsidRPr="004B6097" w:rsidRDefault="00A870CE" w:rsidP="009F5CF8">
      <w:pPr>
        <w:spacing w:line="480" w:lineRule="auto"/>
        <w:ind w:firstLine="720"/>
        <w:jc w:val="center"/>
      </w:pPr>
    </w:p>
    <w:sectPr w:rsidR="00A870CE" w:rsidRPr="004B6097" w:rsidSect="006C723C">
      <w:headerReference w:type="even" r:id="rId14"/>
      <w:headerReference w:type="default" r:id="rId1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C9E69BE" w14:textId="77777777" w:rsidR="00AC7836" w:rsidRDefault="00AC7836" w:rsidP="00951411">
      <w:r>
        <w:separator/>
      </w:r>
    </w:p>
  </w:endnote>
  <w:endnote w:type="continuationSeparator" w:id="0">
    <w:p w14:paraId="2FAC5ABD" w14:textId="77777777" w:rsidR="00AC7836" w:rsidRDefault="00AC7836" w:rsidP="009514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auto"/>
    <w:pitch w:val="variable"/>
    <w:sig w:usb0="E0002AEF" w:usb1="C0007841" w:usb2="00000009" w:usb3="00000000" w:csb0="000001FF" w:csb1="00000000"/>
  </w:font>
  <w:font w:name="ＭＳ 明朝">
    <w:charset w:val="80"/>
    <w:family w:val="auto"/>
    <w:pitch w:val="variable"/>
    <w:sig w:usb0="E00002FF" w:usb1="6AC7FDFB" w:usb2="08000012" w:usb3="00000000" w:csb0="0002009F" w:csb1="00000000"/>
  </w:font>
  <w:font w:name="Cambria">
    <w:panose1 w:val="02040503050406030204"/>
    <w:charset w:val="00"/>
    <w:family w:val="auto"/>
    <w:pitch w:val="variable"/>
    <w:sig w:usb0="E00002FF" w:usb1="400004FF" w:usb2="00000000" w:usb3="00000000" w:csb0="0000019F" w:csb1="00000000"/>
  </w:font>
  <w:font w:name="Calibri">
    <w:panose1 w:val="020F0502020204030204"/>
    <w:charset w:val="00"/>
    <w:family w:val="auto"/>
    <w:pitch w:val="variable"/>
    <w:sig w:usb0="E00002FF" w:usb1="4000ACFF" w:usb2="00000001" w:usb3="00000000" w:csb0="0000019F" w:csb1="00000000"/>
  </w:font>
  <w:font w:name="ＭＳ ゴシック">
    <w:charset w:val="80"/>
    <w:family w:val="auto"/>
    <w:pitch w:val="variable"/>
    <w:sig w:usb0="E00002FF" w:usb1="6AC7FDFB" w:usb2="08000012" w:usb3="00000000" w:csb0="0002009F"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351101" w14:textId="77777777" w:rsidR="00AC7836" w:rsidRDefault="00AC7836" w:rsidP="00951411">
      <w:r>
        <w:separator/>
      </w:r>
    </w:p>
  </w:footnote>
  <w:footnote w:type="continuationSeparator" w:id="0">
    <w:p w14:paraId="22D853B7" w14:textId="77777777" w:rsidR="00AC7836" w:rsidRDefault="00AC7836" w:rsidP="00951411">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5AB579" w14:textId="77777777" w:rsidR="00953807" w:rsidRDefault="00953807" w:rsidP="00CE170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0F47573" w14:textId="77777777" w:rsidR="00953807" w:rsidRDefault="00953807" w:rsidP="00951411">
    <w:pPr>
      <w:pStyle w:val="Header"/>
      <w:ind w:right="360"/>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F0B082" w14:textId="77777777" w:rsidR="00953807" w:rsidRDefault="00953807" w:rsidP="00CE1708">
    <w:pPr>
      <w:pStyle w:val="Head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AC7836">
      <w:rPr>
        <w:rStyle w:val="PageNumber"/>
        <w:noProof/>
      </w:rPr>
      <w:t>1</w:t>
    </w:r>
    <w:r>
      <w:rPr>
        <w:rStyle w:val="PageNumber"/>
      </w:rPr>
      <w:fldChar w:fldCharType="end"/>
    </w:r>
  </w:p>
  <w:p w14:paraId="526429DB" w14:textId="3B010C96" w:rsidR="00953807" w:rsidRDefault="00953807" w:rsidP="00951411">
    <w:pPr>
      <w:pStyle w:val="Header"/>
      <w:ind w:right="360"/>
      <w:jc w:val="right"/>
    </w:pPr>
    <w:r>
      <w:t xml:space="preserve">Lewis </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4743256D"/>
    <w:multiLevelType w:val="hybridMultilevel"/>
    <w:tmpl w:val="E2B6ECA6"/>
    <w:lvl w:ilvl="0" w:tplc="C7E2A726">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49894262"/>
    <w:multiLevelType w:val="hybridMultilevel"/>
    <w:tmpl w:val="E2B6ECA6"/>
    <w:lvl w:ilvl="0" w:tplc="C7E2A726">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6"/>
  <w:defaultTabStop w:val="720"/>
  <w:drawingGridHorizontalSpacing w:val="120"/>
  <w:displayHorizontalDrawingGridEvery w:val="2"/>
  <w:displayVertic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D1240"/>
    <w:rsid w:val="000032A5"/>
    <w:rsid w:val="0000481D"/>
    <w:rsid w:val="00006C9F"/>
    <w:rsid w:val="00011A3E"/>
    <w:rsid w:val="00026D36"/>
    <w:rsid w:val="0002757D"/>
    <w:rsid w:val="000310C8"/>
    <w:rsid w:val="00035EEA"/>
    <w:rsid w:val="000462EF"/>
    <w:rsid w:val="000536F2"/>
    <w:rsid w:val="00061B9F"/>
    <w:rsid w:val="00063BE4"/>
    <w:rsid w:val="00065698"/>
    <w:rsid w:val="00083BEC"/>
    <w:rsid w:val="000919E3"/>
    <w:rsid w:val="000A020D"/>
    <w:rsid w:val="000A13DB"/>
    <w:rsid w:val="000A2FE8"/>
    <w:rsid w:val="000B1FB2"/>
    <w:rsid w:val="000B7FC0"/>
    <w:rsid w:val="000C0A21"/>
    <w:rsid w:val="000C1879"/>
    <w:rsid w:val="000D2810"/>
    <w:rsid w:val="000D2E83"/>
    <w:rsid w:val="000D2FE9"/>
    <w:rsid w:val="000D3663"/>
    <w:rsid w:val="000E046B"/>
    <w:rsid w:val="000E105A"/>
    <w:rsid w:val="000E367D"/>
    <w:rsid w:val="000E4A35"/>
    <w:rsid w:val="000F4C5A"/>
    <w:rsid w:val="00101569"/>
    <w:rsid w:val="00101B56"/>
    <w:rsid w:val="001020B3"/>
    <w:rsid w:val="0010274E"/>
    <w:rsid w:val="0010445B"/>
    <w:rsid w:val="00106E2B"/>
    <w:rsid w:val="00112534"/>
    <w:rsid w:val="00140559"/>
    <w:rsid w:val="00141831"/>
    <w:rsid w:val="001535BF"/>
    <w:rsid w:val="0016322D"/>
    <w:rsid w:val="001717A1"/>
    <w:rsid w:val="00173024"/>
    <w:rsid w:val="00175A09"/>
    <w:rsid w:val="00177011"/>
    <w:rsid w:val="00185215"/>
    <w:rsid w:val="001859B9"/>
    <w:rsid w:val="00187FCA"/>
    <w:rsid w:val="001967F6"/>
    <w:rsid w:val="001A12B4"/>
    <w:rsid w:val="001A3021"/>
    <w:rsid w:val="001B127B"/>
    <w:rsid w:val="001C1BD3"/>
    <w:rsid w:val="001D0A43"/>
    <w:rsid w:val="001D4B3F"/>
    <w:rsid w:val="001D550D"/>
    <w:rsid w:val="001D773C"/>
    <w:rsid w:val="00200B84"/>
    <w:rsid w:val="002160D7"/>
    <w:rsid w:val="00216B3A"/>
    <w:rsid w:val="00216FE3"/>
    <w:rsid w:val="002254E8"/>
    <w:rsid w:val="00250687"/>
    <w:rsid w:val="00255810"/>
    <w:rsid w:val="00262F6F"/>
    <w:rsid w:val="00270FAF"/>
    <w:rsid w:val="00276136"/>
    <w:rsid w:val="00276740"/>
    <w:rsid w:val="002846E7"/>
    <w:rsid w:val="0029252D"/>
    <w:rsid w:val="002A00E3"/>
    <w:rsid w:val="002A20F1"/>
    <w:rsid w:val="002A6266"/>
    <w:rsid w:val="002B4B23"/>
    <w:rsid w:val="002C0469"/>
    <w:rsid w:val="002C060A"/>
    <w:rsid w:val="002D068B"/>
    <w:rsid w:val="00312EBE"/>
    <w:rsid w:val="0031593D"/>
    <w:rsid w:val="00324782"/>
    <w:rsid w:val="003333C7"/>
    <w:rsid w:val="003336F0"/>
    <w:rsid w:val="003374C2"/>
    <w:rsid w:val="00351066"/>
    <w:rsid w:val="00351683"/>
    <w:rsid w:val="00355ACB"/>
    <w:rsid w:val="00363E66"/>
    <w:rsid w:val="003728C2"/>
    <w:rsid w:val="00372B1E"/>
    <w:rsid w:val="0037614E"/>
    <w:rsid w:val="00387478"/>
    <w:rsid w:val="003A18A0"/>
    <w:rsid w:val="003A57EF"/>
    <w:rsid w:val="003C0003"/>
    <w:rsid w:val="003C6A5B"/>
    <w:rsid w:val="003C7F9B"/>
    <w:rsid w:val="003D40CB"/>
    <w:rsid w:val="003D5A35"/>
    <w:rsid w:val="003F75A0"/>
    <w:rsid w:val="004004C9"/>
    <w:rsid w:val="0041166B"/>
    <w:rsid w:val="004146A2"/>
    <w:rsid w:val="0041617C"/>
    <w:rsid w:val="00431520"/>
    <w:rsid w:val="00434D1D"/>
    <w:rsid w:val="004359A6"/>
    <w:rsid w:val="00435D57"/>
    <w:rsid w:val="004376CC"/>
    <w:rsid w:val="00442E39"/>
    <w:rsid w:val="0044450B"/>
    <w:rsid w:val="00446464"/>
    <w:rsid w:val="004478EF"/>
    <w:rsid w:val="004634E6"/>
    <w:rsid w:val="004659AB"/>
    <w:rsid w:val="00472E78"/>
    <w:rsid w:val="0049193D"/>
    <w:rsid w:val="004979E5"/>
    <w:rsid w:val="004A1B26"/>
    <w:rsid w:val="004A5D3D"/>
    <w:rsid w:val="004B2F53"/>
    <w:rsid w:val="004B6097"/>
    <w:rsid w:val="004B6F51"/>
    <w:rsid w:val="004C2BCB"/>
    <w:rsid w:val="004C5B07"/>
    <w:rsid w:val="004D6E78"/>
    <w:rsid w:val="004E07EB"/>
    <w:rsid w:val="004F3B35"/>
    <w:rsid w:val="004F604F"/>
    <w:rsid w:val="00502208"/>
    <w:rsid w:val="0050472B"/>
    <w:rsid w:val="00506ABE"/>
    <w:rsid w:val="00513792"/>
    <w:rsid w:val="005138B3"/>
    <w:rsid w:val="00516B3B"/>
    <w:rsid w:val="0052246E"/>
    <w:rsid w:val="00531F5F"/>
    <w:rsid w:val="00532C1F"/>
    <w:rsid w:val="005348C7"/>
    <w:rsid w:val="00550343"/>
    <w:rsid w:val="00550F16"/>
    <w:rsid w:val="00556D56"/>
    <w:rsid w:val="005579ED"/>
    <w:rsid w:val="00557AE1"/>
    <w:rsid w:val="005639D1"/>
    <w:rsid w:val="00563F05"/>
    <w:rsid w:val="00577920"/>
    <w:rsid w:val="00585E34"/>
    <w:rsid w:val="005900E1"/>
    <w:rsid w:val="00592DF8"/>
    <w:rsid w:val="005A2DAA"/>
    <w:rsid w:val="005A30B5"/>
    <w:rsid w:val="005D5E70"/>
    <w:rsid w:val="005D7BE4"/>
    <w:rsid w:val="005D7E0E"/>
    <w:rsid w:val="005D7EB2"/>
    <w:rsid w:val="005E0E71"/>
    <w:rsid w:val="005E2638"/>
    <w:rsid w:val="005F1ACA"/>
    <w:rsid w:val="005F7812"/>
    <w:rsid w:val="0060112C"/>
    <w:rsid w:val="0060209F"/>
    <w:rsid w:val="00612EA1"/>
    <w:rsid w:val="00620931"/>
    <w:rsid w:val="006242C5"/>
    <w:rsid w:val="006357E4"/>
    <w:rsid w:val="0064662A"/>
    <w:rsid w:val="006469ED"/>
    <w:rsid w:val="00647713"/>
    <w:rsid w:val="0065341A"/>
    <w:rsid w:val="006539EF"/>
    <w:rsid w:val="006572C1"/>
    <w:rsid w:val="006758DD"/>
    <w:rsid w:val="0067773B"/>
    <w:rsid w:val="00697F60"/>
    <w:rsid w:val="006A2AE5"/>
    <w:rsid w:val="006C0A1D"/>
    <w:rsid w:val="006C39D3"/>
    <w:rsid w:val="006C723C"/>
    <w:rsid w:val="006E17BC"/>
    <w:rsid w:val="006E6683"/>
    <w:rsid w:val="006F20FF"/>
    <w:rsid w:val="006F554C"/>
    <w:rsid w:val="006F693F"/>
    <w:rsid w:val="006F7B9E"/>
    <w:rsid w:val="007010A7"/>
    <w:rsid w:val="007023D9"/>
    <w:rsid w:val="007128BA"/>
    <w:rsid w:val="00715166"/>
    <w:rsid w:val="007213D4"/>
    <w:rsid w:val="007232B6"/>
    <w:rsid w:val="00723CFA"/>
    <w:rsid w:val="007415D9"/>
    <w:rsid w:val="00743942"/>
    <w:rsid w:val="007462BF"/>
    <w:rsid w:val="00770320"/>
    <w:rsid w:val="00771462"/>
    <w:rsid w:val="00773A37"/>
    <w:rsid w:val="00775691"/>
    <w:rsid w:val="00786C21"/>
    <w:rsid w:val="00786D0B"/>
    <w:rsid w:val="0079148A"/>
    <w:rsid w:val="00794864"/>
    <w:rsid w:val="00794C70"/>
    <w:rsid w:val="00797E0F"/>
    <w:rsid w:val="007B7D18"/>
    <w:rsid w:val="007C13CB"/>
    <w:rsid w:val="007C2AF9"/>
    <w:rsid w:val="007C3104"/>
    <w:rsid w:val="007D724F"/>
    <w:rsid w:val="007E2932"/>
    <w:rsid w:val="008004A3"/>
    <w:rsid w:val="0080249F"/>
    <w:rsid w:val="00804048"/>
    <w:rsid w:val="00811B8A"/>
    <w:rsid w:val="00813A5C"/>
    <w:rsid w:val="0082320C"/>
    <w:rsid w:val="00825016"/>
    <w:rsid w:val="008340E3"/>
    <w:rsid w:val="00836229"/>
    <w:rsid w:val="00840479"/>
    <w:rsid w:val="00855FEF"/>
    <w:rsid w:val="00880817"/>
    <w:rsid w:val="008A73AF"/>
    <w:rsid w:val="008D1A58"/>
    <w:rsid w:val="008E31EC"/>
    <w:rsid w:val="0090160A"/>
    <w:rsid w:val="00901CEA"/>
    <w:rsid w:val="00902743"/>
    <w:rsid w:val="00926413"/>
    <w:rsid w:val="00943A1F"/>
    <w:rsid w:val="00943EB2"/>
    <w:rsid w:val="00951411"/>
    <w:rsid w:val="00952FAB"/>
    <w:rsid w:val="00953097"/>
    <w:rsid w:val="00953807"/>
    <w:rsid w:val="00963A42"/>
    <w:rsid w:val="00974231"/>
    <w:rsid w:val="0097628F"/>
    <w:rsid w:val="00980534"/>
    <w:rsid w:val="00981853"/>
    <w:rsid w:val="0098462A"/>
    <w:rsid w:val="009846A1"/>
    <w:rsid w:val="0099557C"/>
    <w:rsid w:val="009B4728"/>
    <w:rsid w:val="009C4762"/>
    <w:rsid w:val="009C4E90"/>
    <w:rsid w:val="009D57F3"/>
    <w:rsid w:val="009D6AEE"/>
    <w:rsid w:val="009E0D4E"/>
    <w:rsid w:val="009E2DEB"/>
    <w:rsid w:val="009E5077"/>
    <w:rsid w:val="009F07D4"/>
    <w:rsid w:val="009F4292"/>
    <w:rsid w:val="009F5CF8"/>
    <w:rsid w:val="00A07587"/>
    <w:rsid w:val="00A112CB"/>
    <w:rsid w:val="00A201D8"/>
    <w:rsid w:val="00A33243"/>
    <w:rsid w:val="00A37F75"/>
    <w:rsid w:val="00A42B98"/>
    <w:rsid w:val="00A5289D"/>
    <w:rsid w:val="00A7037B"/>
    <w:rsid w:val="00A8463D"/>
    <w:rsid w:val="00A870CE"/>
    <w:rsid w:val="00AA5417"/>
    <w:rsid w:val="00AB2ACD"/>
    <w:rsid w:val="00AC040E"/>
    <w:rsid w:val="00AC7354"/>
    <w:rsid w:val="00AC7836"/>
    <w:rsid w:val="00AD09B3"/>
    <w:rsid w:val="00AD1452"/>
    <w:rsid w:val="00AE3D11"/>
    <w:rsid w:val="00B00314"/>
    <w:rsid w:val="00B023B4"/>
    <w:rsid w:val="00B03FAB"/>
    <w:rsid w:val="00B17D6D"/>
    <w:rsid w:val="00B237CF"/>
    <w:rsid w:val="00B30DDA"/>
    <w:rsid w:val="00B3429A"/>
    <w:rsid w:val="00B37F3D"/>
    <w:rsid w:val="00B52B48"/>
    <w:rsid w:val="00B7048E"/>
    <w:rsid w:val="00B73DD4"/>
    <w:rsid w:val="00B82F1B"/>
    <w:rsid w:val="00B84A72"/>
    <w:rsid w:val="00BA3E0E"/>
    <w:rsid w:val="00BA4E4E"/>
    <w:rsid w:val="00BA58CE"/>
    <w:rsid w:val="00BA5B33"/>
    <w:rsid w:val="00BA78C6"/>
    <w:rsid w:val="00BB2E40"/>
    <w:rsid w:val="00BB610A"/>
    <w:rsid w:val="00BC314A"/>
    <w:rsid w:val="00BC37CC"/>
    <w:rsid w:val="00BD1240"/>
    <w:rsid w:val="00BF0253"/>
    <w:rsid w:val="00C33948"/>
    <w:rsid w:val="00C44260"/>
    <w:rsid w:val="00C4663A"/>
    <w:rsid w:val="00C50F34"/>
    <w:rsid w:val="00C55E3E"/>
    <w:rsid w:val="00C67335"/>
    <w:rsid w:val="00C72101"/>
    <w:rsid w:val="00C73EF0"/>
    <w:rsid w:val="00C94EAA"/>
    <w:rsid w:val="00C95147"/>
    <w:rsid w:val="00C97326"/>
    <w:rsid w:val="00C9779F"/>
    <w:rsid w:val="00CB5546"/>
    <w:rsid w:val="00CC3B82"/>
    <w:rsid w:val="00CC7165"/>
    <w:rsid w:val="00CD3279"/>
    <w:rsid w:val="00CE0B80"/>
    <w:rsid w:val="00CE1708"/>
    <w:rsid w:val="00D00B25"/>
    <w:rsid w:val="00D04119"/>
    <w:rsid w:val="00D1263E"/>
    <w:rsid w:val="00D146FD"/>
    <w:rsid w:val="00D1575C"/>
    <w:rsid w:val="00D16DCA"/>
    <w:rsid w:val="00D32089"/>
    <w:rsid w:val="00D43D6B"/>
    <w:rsid w:val="00D53095"/>
    <w:rsid w:val="00D560C9"/>
    <w:rsid w:val="00D61F61"/>
    <w:rsid w:val="00D65294"/>
    <w:rsid w:val="00D67EF1"/>
    <w:rsid w:val="00D94825"/>
    <w:rsid w:val="00DA76C4"/>
    <w:rsid w:val="00DB082A"/>
    <w:rsid w:val="00DB4696"/>
    <w:rsid w:val="00DB770B"/>
    <w:rsid w:val="00DC0892"/>
    <w:rsid w:val="00DC29EE"/>
    <w:rsid w:val="00DE5758"/>
    <w:rsid w:val="00DE7122"/>
    <w:rsid w:val="00DF090F"/>
    <w:rsid w:val="00DF2889"/>
    <w:rsid w:val="00E01CD6"/>
    <w:rsid w:val="00E07FD6"/>
    <w:rsid w:val="00E16734"/>
    <w:rsid w:val="00E175E8"/>
    <w:rsid w:val="00E350B9"/>
    <w:rsid w:val="00E37C2B"/>
    <w:rsid w:val="00E406A5"/>
    <w:rsid w:val="00E53AD5"/>
    <w:rsid w:val="00E604C0"/>
    <w:rsid w:val="00E60D03"/>
    <w:rsid w:val="00E62060"/>
    <w:rsid w:val="00E80F02"/>
    <w:rsid w:val="00E810B3"/>
    <w:rsid w:val="00E83446"/>
    <w:rsid w:val="00E9669F"/>
    <w:rsid w:val="00EB2007"/>
    <w:rsid w:val="00EB2143"/>
    <w:rsid w:val="00EB3DAE"/>
    <w:rsid w:val="00EC2269"/>
    <w:rsid w:val="00ED0381"/>
    <w:rsid w:val="00ED6855"/>
    <w:rsid w:val="00EE200A"/>
    <w:rsid w:val="00EE3AC6"/>
    <w:rsid w:val="00EE6062"/>
    <w:rsid w:val="00EF0675"/>
    <w:rsid w:val="00EF0773"/>
    <w:rsid w:val="00F018A5"/>
    <w:rsid w:val="00F04EA5"/>
    <w:rsid w:val="00F125D8"/>
    <w:rsid w:val="00F212BB"/>
    <w:rsid w:val="00F23113"/>
    <w:rsid w:val="00F36F53"/>
    <w:rsid w:val="00F620EA"/>
    <w:rsid w:val="00F648BA"/>
    <w:rsid w:val="00F770BB"/>
    <w:rsid w:val="00F96293"/>
    <w:rsid w:val="00FB10B7"/>
    <w:rsid w:val="00FB639D"/>
    <w:rsid w:val="00FC1287"/>
    <w:rsid w:val="00FC53AA"/>
    <w:rsid w:val="00FD1EC2"/>
    <w:rsid w:val="00FF33FE"/>
    <w:rsid w:val="00FF4A99"/>
    <w:rsid w:val="00FF7B7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434CD891"/>
  <w14:defaultImageDpi w14:val="30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E810B3"/>
    <w:rPr>
      <w:rFonts w:ascii="Times New Roman" w:hAnsi="Times New Roman" w:cs="Times New Roman"/>
    </w:rPr>
  </w:style>
  <w:style w:type="paragraph" w:styleId="Heading1">
    <w:name w:val="heading 1"/>
    <w:basedOn w:val="Normal"/>
    <w:next w:val="Normal"/>
    <w:link w:val="Heading1Char"/>
    <w:uiPriority w:val="9"/>
    <w:qFormat/>
    <w:rsid w:val="009C4E90"/>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link w:val="Heading3Char"/>
    <w:uiPriority w:val="9"/>
    <w:qFormat/>
    <w:rsid w:val="00AD1452"/>
    <w:pPr>
      <w:spacing w:before="100" w:beforeAutospacing="1" w:after="100" w:afterAutospacing="1"/>
      <w:outlineLvl w:val="2"/>
    </w:pPr>
    <w:rPr>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phonetics">
    <w:name w:val="phonetics"/>
    <w:basedOn w:val="DefaultParagraphFont"/>
    <w:rsid w:val="009E2DEB"/>
  </w:style>
  <w:style w:type="character" w:customStyle="1" w:styleId="apple-converted-space">
    <w:name w:val="apple-converted-space"/>
    <w:basedOn w:val="DefaultParagraphFont"/>
    <w:rsid w:val="009E2DEB"/>
  </w:style>
  <w:style w:type="paragraph" w:styleId="ListParagraph">
    <w:name w:val="List Paragraph"/>
    <w:basedOn w:val="Normal"/>
    <w:uiPriority w:val="34"/>
    <w:qFormat/>
    <w:rsid w:val="009E2DEB"/>
    <w:pPr>
      <w:ind w:left="720"/>
      <w:contextualSpacing/>
    </w:pPr>
    <w:rPr>
      <w:rFonts w:asciiTheme="minorHAnsi" w:hAnsiTheme="minorHAnsi" w:cstheme="minorBidi"/>
    </w:rPr>
  </w:style>
  <w:style w:type="character" w:customStyle="1" w:styleId="smallcaps">
    <w:name w:val="smallcaps"/>
    <w:basedOn w:val="DefaultParagraphFont"/>
    <w:rsid w:val="003D5A35"/>
  </w:style>
  <w:style w:type="character" w:customStyle="1" w:styleId="ps">
    <w:name w:val="ps"/>
    <w:basedOn w:val="DefaultParagraphFont"/>
    <w:rsid w:val="003D5A35"/>
  </w:style>
  <w:style w:type="character" w:customStyle="1" w:styleId="oneclick-link">
    <w:name w:val="oneclick-link"/>
    <w:basedOn w:val="DefaultParagraphFont"/>
    <w:rsid w:val="003D5A35"/>
  </w:style>
  <w:style w:type="character" w:customStyle="1" w:styleId="dbox-bold">
    <w:name w:val="dbox-bold"/>
    <w:basedOn w:val="DefaultParagraphFont"/>
    <w:rsid w:val="003D5A35"/>
  </w:style>
  <w:style w:type="character" w:customStyle="1" w:styleId="dbox-italic">
    <w:name w:val="dbox-italic"/>
    <w:basedOn w:val="DefaultParagraphFont"/>
    <w:rsid w:val="003D5A35"/>
  </w:style>
  <w:style w:type="character" w:styleId="Strong">
    <w:name w:val="Strong"/>
    <w:basedOn w:val="DefaultParagraphFont"/>
    <w:uiPriority w:val="22"/>
    <w:qFormat/>
    <w:rsid w:val="003D5A35"/>
    <w:rPr>
      <w:b/>
      <w:bCs/>
    </w:rPr>
  </w:style>
  <w:style w:type="character" w:styleId="Emphasis">
    <w:name w:val="Emphasis"/>
    <w:basedOn w:val="DefaultParagraphFont"/>
    <w:uiPriority w:val="20"/>
    <w:qFormat/>
    <w:rsid w:val="003D5A35"/>
    <w:rPr>
      <w:i/>
      <w:iCs/>
    </w:rPr>
  </w:style>
  <w:style w:type="character" w:styleId="Hyperlink">
    <w:name w:val="Hyperlink"/>
    <w:basedOn w:val="DefaultParagraphFont"/>
    <w:uiPriority w:val="99"/>
    <w:unhideWhenUsed/>
    <w:rsid w:val="003D5A35"/>
    <w:rPr>
      <w:color w:val="0000FF"/>
      <w:u w:val="single"/>
    </w:rPr>
  </w:style>
  <w:style w:type="character" w:customStyle="1" w:styleId="Heading3Char">
    <w:name w:val="Heading 3 Char"/>
    <w:basedOn w:val="DefaultParagraphFont"/>
    <w:link w:val="Heading3"/>
    <w:uiPriority w:val="9"/>
    <w:rsid w:val="00AD1452"/>
    <w:rPr>
      <w:rFonts w:ascii="Times New Roman" w:hAnsi="Times New Roman" w:cs="Times New Roman"/>
      <w:b/>
      <w:bCs/>
      <w:sz w:val="27"/>
      <w:szCs w:val="27"/>
    </w:rPr>
  </w:style>
  <w:style w:type="paragraph" w:styleId="Header">
    <w:name w:val="header"/>
    <w:basedOn w:val="Normal"/>
    <w:link w:val="HeaderChar"/>
    <w:uiPriority w:val="99"/>
    <w:unhideWhenUsed/>
    <w:rsid w:val="00951411"/>
    <w:pPr>
      <w:tabs>
        <w:tab w:val="center" w:pos="4680"/>
        <w:tab w:val="right" w:pos="9360"/>
      </w:tabs>
    </w:pPr>
  </w:style>
  <w:style w:type="character" w:customStyle="1" w:styleId="HeaderChar">
    <w:name w:val="Header Char"/>
    <w:basedOn w:val="DefaultParagraphFont"/>
    <w:link w:val="Header"/>
    <w:uiPriority w:val="99"/>
    <w:rsid w:val="00951411"/>
    <w:rPr>
      <w:rFonts w:ascii="Times New Roman" w:hAnsi="Times New Roman" w:cs="Times New Roman"/>
    </w:rPr>
  </w:style>
  <w:style w:type="paragraph" w:styleId="Footer">
    <w:name w:val="footer"/>
    <w:basedOn w:val="Normal"/>
    <w:link w:val="FooterChar"/>
    <w:uiPriority w:val="99"/>
    <w:unhideWhenUsed/>
    <w:rsid w:val="00951411"/>
    <w:pPr>
      <w:tabs>
        <w:tab w:val="center" w:pos="4680"/>
        <w:tab w:val="right" w:pos="9360"/>
      </w:tabs>
    </w:pPr>
  </w:style>
  <w:style w:type="character" w:customStyle="1" w:styleId="FooterChar">
    <w:name w:val="Footer Char"/>
    <w:basedOn w:val="DefaultParagraphFont"/>
    <w:link w:val="Footer"/>
    <w:uiPriority w:val="99"/>
    <w:rsid w:val="00951411"/>
    <w:rPr>
      <w:rFonts w:ascii="Times New Roman" w:hAnsi="Times New Roman" w:cs="Times New Roman"/>
    </w:rPr>
  </w:style>
  <w:style w:type="character" w:styleId="PageNumber">
    <w:name w:val="page number"/>
    <w:basedOn w:val="DefaultParagraphFont"/>
    <w:uiPriority w:val="99"/>
    <w:semiHidden/>
    <w:unhideWhenUsed/>
    <w:rsid w:val="00951411"/>
  </w:style>
  <w:style w:type="character" w:styleId="CommentReference">
    <w:name w:val="annotation reference"/>
    <w:basedOn w:val="DefaultParagraphFont"/>
    <w:uiPriority w:val="99"/>
    <w:semiHidden/>
    <w:unhideWhenUsed/>
    <w:rsid w:val="00804048"/>
    <w:rPr>
      <w:sz w:val="18"/>
      <w:szCs w:val="18"/>
    </w:rPr>
  </w:style>
  <w:style w:type="paragraph" w:styleId="CommentText">
    <w:name w:val="annotation text"/>
    <w:basedOn w:val="Normal"/>
    <w:link w:val="CommentTextChar"/>
    <w:uiPriority w:val="99"/>
    <w:semiHidden/>
    <w:unhideWhenUsed/>
    <w:rsid w:val="00804048"/>
  </w:style>
  <w:style w:type="character" w:customStyle="1" w:styleId="CommentTextChar">
    <w:name w:val="Comment Text Char"/>
    <w:basedOn w:val="DefaultParagraphFont"/>
    <w:link w:val="CommentText"/>
    <w:uiPriority w:val="99"/>
    <w:semiHidden/>
    <w:rsid w:val="00804048"/>
    <w:rPr>
      <w:rFonts w:ascii="Times New Roman" w:hAnsi="Times New Roman" w:cs="Times New Roman"/>
    </w:rPr>
  </w:style>
  <w:style w:type="paragraph" w:styleId="CommentSubject">
    <w:name w:val="annotation subject"/>
    <w:basedOn w:val="CommentText"/>
    <w:next w:val="CommentText"/>
    <w:link w:val="CommentSubjectChar"/>
    <w:uiPriority w:val="99"/>
    <w:semiHidden/>
    <w:unhideWhenUsed/>
    <w:rsid w:val="00804048"/>
    <w:rPr>
      <w:b/>
      <w:bCs/>
      <w:sz w:val="20"/>
      <w:szCs w:val="20"/>
    </w:rPr>
  </w:style>
  <w:style w:type="character" w:customStyle="1" w:styleId="CommentSubjectChar">
    <w:name w:val="Comment Subject Char"/>
    <w:basedOn w:val="CommentTextChar"/>
    <w:link w:val="CommentSubject"/>
    <w:uiPriority w:val="99"/>
    <w:semiHidden/>
    <w:rsid w:val="00804048"/>
    <w:rPr>
      <w:rFonts w:ascii="Times New Roman" w:hAnsi="Times New Roman" w:cs="Times New Roman"/>
      <w:b/>
      <w:bCs/>
      <w:sz w:val="20"/>
      <w:szCs w:val="20"/>
    </w:rPr>
  </w:style>
  <w:style w:type="paragraph" w:styleId="BalloonText">
    <w:name w:val="Balloon Text"/>
    <w:basedOn w:val="Normal"/>
    <w:link w:val="BalloonTextChar"/>
    <w:uiPriority w:val="99"/>
    <w:semiHidden/>
    <w:unhideWhenUsed/>
    <w:rsid w:val="00804048"/>
    <w:rPr>
      <w:sz w:val="18"/>
      <w:szCs w:val="18"/>
    </w:rPr>
  </w:style>
  <w:style w:type="character" w:customStyle="1" w:styleId="BalloonTextChar">
    <w:name w:val="Balloon Text Char"/>
    <w:basedOn w:val="DefaultParagraphFont"/>
    <w:link w:val="BalloonText"/>
    <w:uiPriority w:val="99"/>
    <w:semiHidden/>
    <w:rsid w:val="00804048"/>
    <w:rPr>
      <w:rFonts w:ascii="Times New Roman" w:hAnsi="Times New Roman" w:cs="Times New Roman"/>
      <w:sz w:val="18"/>
      <w:szCs w:val="18"/>
    </w:rPr>
  </w:style>
  <w:style w:type="character" w:customStyle="1" w:styleId="Heading1Char">
    <w:name w:val="Heading 1 Char"/>
    <w:basedOn w:val="DefaultParagraphFont"/>
    <w:link w:val="Heading1"/>
    <w:uiPriority w:val="9"/>
    <w:rsid w:val="009C4E90"/>
    <w:rPr>
      <w:rFonts w:asciiTheme="majorHAnsi" w:eastAsiaTheme="majorEastAsia" w:hAnsiTheme="majorHAnsi" w:cstheme="majorBidi"/>
      <w:color w:val="365F91" w:themeColor="accent1" w:themeShade="BF"/>
      <w:sz w:val="32"/>
      <w:szCs w:val="32"/>
    </w:rPr>
  </w:style>
  <w:style w:type="paragraph" w:customStyle="1" w:styleId="highlight">
    <w:name w:val="highlight"/>
    <w:basedOn w:val="Normal"/>
    <w:rsid w:val="005D7E0E"/>
    <w:pPr>
      <w:spacing w:before="100" w:beforeAutospacing="1" w:after="100" w:afterAutospacing="1"/>
    </w:pPr>
  </w:style>
  <w:style w:type="character" w:customStyle="1" w:styleId="verse">
    <w:name w:val="verse"/>
    <w:basedOn w:val="DefaultParagraphFont"/>
    <w:rsid w:val="005D7E0E"/>
  </w:style>
  <w:style w:type="character" w:customStyle="1" w:styleId="clarityword">
    <w:name w:val="clarityword"/>
    <w:basedOn w:val="DefaultParagraphFont"/>
    <w:rsid w:val="005D7E0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3721137">
      <w:bodyDiv w:val="1"/>
      <w:marLeft w:val="0"/>
      <w:marRight w:val="0"/>
      <w:marTop w:val="0"/>
      <w:marBottom w:val="0"/>
      <w:divBdr>
        <w:top w:val="none" w:sz="0" w:space="0" w:color="auto"/>
        <w:left w:val="none" w:sz="0" w:space="0" w:color="auto"/>
        <w:bottom w:val="none" w:sz="0" w:space="0" w:color="auto"/>
        <w:right w:val="none" w:sz="0" w:space="0" w:color="auto"/>
      </w:divBdr>
    </w:div>
    <w:div w:id="191842154">
      <w:bodyDiv w:val="1"/>
      <w:marLeft w:val="0"/>
      <w:marRight w:val="0"/>
      <w:marTop w:val="0"/>
      <w:marBottom w:val="0"/>
      <w:divBdr>
        <w:top w:val="none" w:sz="0" w:space="0" w:color="auto"/>
        <w:left w:val="none" w:sz="0" w:space="0" w:color="auto"/>
        <w:bottom w:val="none" w:sz="0" w:space="0" w:color="auto"/>
        <w:right w:val="none" w:sz="0" w:space="0" w:color="auto"/>
      </w:divBdr>
    </w:div>
    <w:div w:id="378167898">
      <w:bodyDiv w:val="1"/>
      <w:marLeft w:val="0"/>
      <w:marRight w:val="0"/>
      <w:marTop w:val="0"/>
      <w:marBottom w:val="0"/>
      <w:divBdr>
        <w:top w:val="none" w:sz="0" w:space="0" w:color="auto"/>
        <w:left w:val="none" w:sz="0" w:space="0" w:color="auto"/>
        <w:bottom w:val="none" w:sz="0" w:space="0" w:color="auto"/>
        <w:right w:val="none" w:sz="0" w:space="0" w:color="auto"/>
      </w:divBdr>
    </w:div>
    <w:div w:id="806242111">
      <w:bodyDiv w:val="1"/>
      <w:marLeft w:val="0"/>
      <w:marRight w:val="0"/>
      <w:marTop w:val="0"/>
      <w:marBottom w:val="0"/>
      <w:divBdr>
        <w:top w:val="none" w:sz="0" w:space="0" w:color="auto"/>
        <w:left w:val="none" w:sz="0" w:space="0" w:color="auto"/>
        <w:bottom w:val="none" w:sz="0" w:space="0" w:color="auto"/>
        <w:right w:val="none" w:sz="0" w:space="0" w:color="auto"/>
      </w:divBdr>
    </w:div>
    <w:div w:id="898787875">
      <w:bodyDiv w:val="1"/>
      <w:marLeft w:val="0"/>
      <w:marRight w:val="0"/>
      <w:marTop w:val="0"/>
      <w:marBottom w:val="0"/>
      <w:divBdr>
        <w:top w:val="none" w:sz="0" w:space="0" w:color="auto"/>
        <w:left w:val="none" w:sz="0" w:space="0" w:color="auto"/>
        <w:bottom w:val="none" w:sz="0" w:space="0" w:color="auto"/>
        <w:right w:val="none" w:sz="0" w:space="0" w:color="auto"/>
      </w:divBdr>
    </w:div>
    <w:div w:id="932203260">
      <w:bodyDiv w:val="1"/>
      <w:marLeft w:val="0"/>
      <w:marRight w:val="0"/>
      <w:marTop w:val="0"/>
      <w:marBottom w:val="0"/>
      <w:divBdr>
        <w:top w:val="none" w:sz="0" w:space="0" w:color="auto"/>
        <w:left w:val="none" w:sz="0" w:space="0" w:color="auto"/>
        <w:bottom w:val="none" w:sz="0" w:space="0" w:color="auto"/>
        <w:right w:val="none" w:sz="0" w:space="0" w:color="auto"/>
      </w:divBdr>
    </w:div>
    <w:div w:id="975523144">
      <w:bodyDiv w:val="1"/>
      <w:marLeft w:val="0"/>
      <w:marRight w:val="0"/>
      <w:marTop w:val="0"/>
      <w:marBottom w:val="0"/>
      <w:divBdr>
        <w:top w:val="none" w:sz="0" w:space="0" w:color="auto"/>
        <w:left w:val="none" w:sz="0" w:space="0" w:color="auto"/>
        <w:bottom w:val="none" w:sz="0" w:space="0" w:color="auto"/>
        <w:right w:val="none" w:sz="0" w:space="0" w:color="auto"/>
      </w:divBdr>
    </w:div>
    <w:div w:id="1068653784">
      <w:bodyDiv w:val="1"/>
      <w:marLeft w:val="0"/>
      <w:marRight w:val="0"/>
      <w:marTop w:val="0"/>
      <w:marBottom w:val="0"/>
      <w:divBdr>
        <w:top w:val="none" w:sz="0" w:space="0" w:color="auto"/>
        <w:left w:val="none" w:sz="0" w:space="0" w:color="auto"/>
        <w:bottom w:val="none" w:sz="0" w:space="0" w:color="auto"/>
        <w:right w:val="none" w:sz="0" w:space="0" w:color="auto"/>
      </w:divBdr>
    </w:div>
    <w:div w:id="1076899207">
      <w:bodyDiv w:val="1"/>
      <w:marLeft w:val="0"/>
      <w:marRight w:val="0"/>
      <w:marTop w:val="0"/>
      <w:marBottom w:val="0"/>
      <w:divBdr>
        <w:top w:val="none" w:sz="0" w:space="0" w:color="auto"/>
        <w:left w:val="none" w:sz="0" w:space="0" w:color="auto"/>
        <w:bottom w:val="none" w:sz="0" w:space="0" w:color="auto"/>
        <w:right w:val="none" w:sz="0" w:space="0" w:color="auto"/>
      </w:divBdr>
    </w:div>
    <w:div w:id="1129283388">
      <w:bodyDiv w:val="1"/>
      <w:marLeft w:val="0"/>
      <w:marRight w:val="0"/>
      <w:marTop w:val="0"/>
      <w:marBottom w:val="0"/>
      <w:divBdr>
        <w:top w:val="none" w:sz="0" w:space="0" w:color="auto"/>
        <w:left w:val="none" w:sz="0" w:space="0" w:color="auto"/>
        <w:bottom w:val="none" w:sz="0" w:space="0" w:color="auto"/>
        <w:right w:val="none" w:sz="0" w:space="0" w:color="auto"/>
      </w:divBdr>
    </w:div>
    <w:div w:id="1382360391">
      <w:bodyDiv w:val="1"/>
      <w:marLeft w:val="0"/>
      <w:marRight w:val="0"/>
      <w:marTop w:val="0"/>
      <w:marBottom w:val="0"/>
      <w:divBdr>
        <w:top w:val="none" w:sz="0" w:space="0" w:color="auto"/>
        <w:left w:val="none" w:sz="0" w:space="0" w:color="auto"/>
        <w:bottom w:val="none" w:sz="0" w:space="0" w:color="auto"/>
        <w:right w:val="none" w:sz="0" w:space="0" w:color="auto"/>
      </w:divBdr>
    </w:div>
    <w:div w:id="1513566515">
      <w:bodyDiv w:val="1"/>
      <w:marLeft w:val="0"/>
      <w:marRight w:val="0"/>
      <w:marTop w:val="0"/>
      <w:marBottom w:val="0"/>
      <w:divBdr>
        <w:top w:val="none" w:sz="0" w:space="0" w:color="auto"/>
        <w:left w:val="none" w:sz="0" w:space="0" w:color="auto"/>
        <w:bottom w:val="none" w:sz="0" w:space="0" w:color="auto"/>
        <w:right w:val="none" w:sz="0" w:space="0" w:color="auto"/>
      </w:divBdr>
    </w:div>
    <w:div w:id="1557155958">
      <w:bodyDiv w:val="1"/>
      <w:marLeft w:val="0"/>
      <w:marRight w:val="0"/>
      <w:marTop w:val="0"/>
      <w:marBottom w:val="0"/>
      <w:divBdr>
        <w:top w:val="none" w:sz="0" w:space="0" w:color="auto"/>
        <w:left w:val="none" w:sz="0" w:space="0" w:color="auto"/>
        <w:bottom w:val="none" w:sz="0" w:space="0" w:color="auto"/>
        <w:right w:val="none" w:sz="0" w:space="0" w:color="auto"/>
      </w:divBdr>
    </w:div>
    <w:div w:id="1581603067">
      <w:bodyDiv w:val="1"/>
      <w:marLeft w:val="0"/>
      <w:marRight w:val="0"/>
      <w:marTop w:val="0"/>
      <w:marBottom w:val="0"/>
      <w:divBdr>
        <w:top w:val="none" w:sz="0" w:space="0" w:color="auto"/>
        <w:left w:val="none" w:sz="0" w:space="0" w:color="auto"/>
        <w:bottom w:val="none" w:sz="0" w:space="0" w:color="auto"/>
        <w:right w:val="none" w:sz="0" w:space="0" w:color="auto"/>
      </w:divBdr>
    </w:div>
    <w:div w:id="1790272417">
      <w:bodyDiv w:val="1"/>
      <w:marLeft w:val="0"/>
      <w:marRight w:val="0"/>
      <w:marTop w:val="0"/>
      <w:marBottom w:val="0"/>
      <w:divBdr>
        <w:top w:val="none" w:sz="0" w:space="0" w:color="auto"/>
        <w:left w:val="none" w:sz="0" w:space="0" w:color="auto"/>
        <w:bottom w:val="none" w:sz="0" w:space="0" w:color="auto"/>
        <w:right w:val="none" w:sz="0" w:space="0" w:color="auto"/>
      </w:divBdr>
    </w:div>
    <w:div w:id="1806240910">
      <w:bodyDiv w:val="1"/>
      <w:marLeft w:val="0"/>
      <w:marRight w:val="0"/>
      <w:marTop w:val="0"/>
      <w:marBottom w:val="0"/>
      <w:divBdr>
        <w:top w:val="none" w:sz="0" w:space="0" w:color="auto"/>
        <w:left w:val="none" w:sz="0" w:space="0" w:color="auto"/>
        <w:bottom w:val="none" w:sz="0" w:space="0" w:color="auto"/>
        <w:right w:val="none" w:sz="0" w:space="0" w:color="auto"/>
      </w:divBdr>
    </w:div>
    <w:div w:id="2120372489">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header" Target="header1.xml"/><Relationship Id="rId15" Type="http://schemas.openxmlformats.org/officeDocument/2006/relationships/header" Target="header2.xml"/><Relationship Id="rId16" Type="http://schemas.openxmlformats.org/officeDocument/2006/relationships/fontTable" Target="fontTable.xml"/><Relationship Id="rId17"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png"/><Relationship Id="rId8" Type="http://schemas.openxmlformats.org/officeDocument/2006/relationships/image" Target="media/image2.png"/><Relationship Id="rId9" Type="http://schemas.openxmlformats.org/officeDocument/2006/relationships/image" Target="media/image3.png"/><Relationship Id="rId10"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12</Pages>
  <Words>3380</Words>
  <Characters>17478</Characters>
  <Application>Microsoft Macintosh Word</Application>
  <DocSecurity>0</DocSecurity>
  <Lines>356</Lines>
  <Paragraphs>121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Morgan Lewis</dc:creator>
  <cp:keywords/>
  <dc:description/>
  <cp:lastModifiedBy>Morgan Lewis</cp:lastModifiedBy>
  <cp:revision>2</cp:revision>
  <cp:lastPrinted>2016-12-07T15:17:00Z</cp:lastPrinted>
  <dcterms:created xsi:type="dcterms:W3CDTF">2017-04-20T00:53:00Z</dcterms:created>
  <dcterms:modified xsi:type="dcterms:W3CDTF">2017-04-20T00:53:00Z</dcterms:modified>
</cp:coreProperties>
</file>